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color w:val="FF0000"/>
          <w:w w:val="80"/>
          <w:lang w:val="en-US"/>
        </w:rPr>
      </w:pPr>
      <w:r>
        <w:rPr>
          <w:sz w:val="106"/>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1116965</wp:posOffset>
                </wp:positionV>
                <wp:extent cx="5674995" cy="20320"/>
                <wp:effectExtent l="0" t="34925" r="1905" b="40005"/>
                <wp:wrapNone/>
                <wp:docPr id="1" name="直接连接符 1"/>
                <wp:cNvGraphicFramePr/>
                <a:graphic xmlns:a="http://schemas.openxmlformats.org/drawingml/2006/main">
                  <a:graphicData uri="http://schemas.microsoft.com/office/word/2010/wordprocessingShape">
                    <wps:wsp>
                      <wps:cNvCnPr/>
                      <wps:spPr>
                        <a:xfrm flipV="1">
                          <a:off x="908050" y="2075815"/>
                          <a:ext cx="5674995" cy="20320"/>
                        </a:xfrm>
                        <a:prstGeom prst="line">
                          <a:avLst/>
                        </a:prstGeom>
                        <a:ln w="66675" cmpd="thickThin">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pt;margin-top:87.95pt;height:1.6pt;width:446.85pt;z-index:251659264;mso-width-relative:page;mso-height-relative:page;" filled="f" stroked="t" coordsize="21600,21600" o:gfxdata="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mIAFH1QAAAAgBAAAPAAAAAAAAAAEAIAAAACIAAABkcnMvZG93bnJldi54bWxQSwEC&#10;FAAUAAAACACHTuJAMNVAJvcBAAC6AwAADgAAAAAAAAABACAAAAAkAQAAZHJzL2Uyb0RvYy54bWxQ&#10;SwUGAAAAAAYABgBZAQAAjQUAAAAA&#10;">
                <v:fill on="f" focussize="0,0"/>
                <v:stroke weight="5.25pt" color="#FF0000 [3204]" linestyle="thickThin" joinstyle="round"/>
                <v:imagedata o:title=""/>
                <o:lock v:ext="edit" aspectratio="f"/>
              </v:line>
            </w:pict>
          </mc:Fallback>
        </mc:AlternateContent>
      </w:r>
      <w:r>
        <w:rPr>
          <w:rFonts w:ascii="Arial Unicode MS" w:hAnsi="Arial Unicode MS" w:eastAsia="Arial Unicode MS" w:cs="Arial Unicode MS"/>
          <w:color w:val="FF0000"/>
          <w:w w:val="80"/>
          <w:kern w:val="0"/>
          <w:sz w:val="106"/>
          <w:szCs w:val="106"/>
          <w:lang w:val="en-US" w:eastAsia="zh-CN" w:bidi="ar"/>
        </w:rPr>
        <w:t>湖南理工学院</w:t>
      </w:r>
      <w:r>
        <w:rPr>
          <w:rFonts w:hint="eastAsia" w:ascii="Arial Unicode MS" w:hAnsi="Arial Unicode MS" w:eastAsia="Arial Unicode MS" w:cs="Arial Unicode MS"/>
          <w:color w:val="FF0000"/>
          <w:w w:val="80"/>
          <w:kern w:val="0"/>
          <w:sz w:val="106"/>
          <w:szCs w:val="106"/>
          <w:lang w:val="en-US" w:eastAsia="zh-CN" w:bidi="ar"/>
        </w:rPr>
        <w:t>南湖学院</w:t>
      </w:r>
    </w:p>
    <w:p>
      <w:pPr>
        <w:bidi w:val="0"/>
        <w:ind w:left="320" w:leftChars="100" w:firstLine="3827" w:firstLineChars="1196"/>
        <w:jc w:val="right"/>
        <w:rPr>
          <w:rFonts w:hint="default" w:ascii="宋体" w:hAnsi="宋体" w:eastAsia="宋体" w:cs="宋体"/>
          <w:b/>
          <w:sz w:val="40"/>
          <w:szCs w:val="40"/>
          <w:lang w:val="en-US"/>
        </w:rPr>
      </w:pPr>
      <w:r>
        <w:rPr>
          <w:rFonts w:hint="eastAsia"/>
          <w:lang w:val="en-US" w:eastAsia="zh-CN"/>
        </w:rPr>
        <w:t>院政发[2021]4号</w:t>
      </w:r>
    </w:p>
    <w:p>
      <w:pPr>
        <w:pStyle w:val="2"/>
        <w:spacing w:after="461" w:line="246" w:lineRule="auto"/>
        <w:ind w:right="0" w:firstLine="402" w:firstLineChars="100"/>
        <w:jc w:val="center"/>
        <w:rPr>
          <w:rFonts w:hint="eastAsia" w:ascii="宋体" w:hAnsi="宋体" w:eastAsia="宋体" w:cs="宋体"/>
          <w:b/>
          <w:sz w:val="40"/>
          <w:szCs w:val="40"/>
        </w:rPr>
      </w:pPr>
    </w:p>
    <w:p>
      <w:pPr>
        <w:pStyle w:val="2"/>
        <w:spacing w:after="461" w:line="246" w:lineRule="auto"/>
        <w:ind w:right="0" w:firstLine="402" w:firstLineChars="100"/>
        <w:jc w:val="center"/>
        <w:rPr>
          <w:rFonts w:cs="Times New Roman"/>
          <w:b/>
          <w:sz w:val="28"/>
          <w:szCs w:val="28"/>
        </w:rPr>
      </w:pPr>
      <w:r>
        <w:rPr>
          <w:rFonts w:hint="eastAsia" w:ascii="宋体" w:hAnsi="宋体" w:eastAsia="宋体" w:cs="宋体"/>
          <w:b/>
          <w:sz w:val="40"/>
          <w:szCs w:val="40"/>
        </w:rPr>
        <w:t>湖南理工学院南湖学院</w:t>
      </w:r>
      <w:r>
        <w:rPr>
          <w:rFonts w:ascii="宋体" w:hAnsi="宋体" w:eastAsia="宋体" w:cs="宋体"/>
          <w:b/>
          <w:sz w:val="40"/>
          <w:szCs w:val="40"/>
        </w:rPr>
        <w:t xml:space="preserve"> 202</w:t>
      </w:r>
      <w:r>
        <w:rPr>
          <w:rFonts w:hint="eastAsia" w:ascii="宋体" w:hAnsi="宋体" w:eastAsia="宋体" w:cs="宋体"/>
          <w:b/>
          <w:sz w:val="40"/>
          <w:szCs w:val="40"/>
        </w:rPr>
        <w:t>1年“专升本”</w:t>
      </w:r>
      <w:r>
        <w:rPr>
          <w:rFonts w:hint="eastAsia" w:ascii="宋体" w:hAnsi="宋体" w:eastAsia="宋体" w:cs="宋体"/>
          <w:b/>
          <w:sz w:val="40"/>
          <w:szCs w:val="40"/>
          <w:lang w:val="en-US" w:eastAsia="zh-CN"/>
        </w:rPr>
        <w:t xml:space="preserve">      </w:t>
      </w:r>
      <w:r>
        <w:rPr>
          <w:rFonts w:hint="eastAsia" w:ascii="宋体" w:hAnsi="宋体" w:eastAsia="宋体" w:cs="宋体"/>
          <w:b/>
          <w:sz w:val="40"/>
          <w:szCs w:val="40"/>
        </w:rPr>
        <w:t>工作方案</w:t>
      </w:r>
    </w:p>
    <w:p>
      <w:pPr>
        <w:ind w:left="-15" w:right="0" w:firstLine="641"/>
        <w:rPr>
          <w:rFonts w:cs="Times New Roman"/>
        </w:rPr>
      </w:pPr>
      <w:r>
        <w:rPr>
          <w:rFonts w:hint="eastAsia"/>
        </w:rPr>
        <w:t>为贯彻落实教育部关于做好普通高等教育“专升本”考试招生工作的有关要求，根据湖南省教育厅《关于印发</w:t>
      </w:r>
      <w:r>
        <w:t>&lt;</w:t>
      </w:r>
      <w:r>
        <w:rPr>
          <w:rFonts w:hint="eastAsia"/>
        </w:rPr>
        <w:t>2021年湖南省普通高等教育“专升本”</w:t>
      </w:r>
      <w:r>
        <w:t xml:space="preserve"> </w:t>
      </w:r>
      <w:r>
        <w:rPr>
          <w:rFonts w:hint="eastAsia"/>
        </w:rPr>
        <w:t>考试招生工作实施方案</w:t>
      </w:r>
      <w:r>
        <w:t>&gt;</w:t>
      </w:r>
      <w:r>
        <w:rPr>
          <w:rFonts w:hint="eastAsia"/>
        </w:rPr>
        <w:t>的通知》</w:t>
      </w:r>
      <w:r>
        <w:t>(</w:t>
      </w:r>
      <w:r>
        <w:rPr>
          <w:rFonts w:hint="eastAsia"/>
        </w:rPr>
        <w:t>湘教发〔</w:t>
      </w:r>
      <w:r>
        <w:t>202</w:t>
      </w:r>
      <w:r>
        <w:rPr>
          <w:rFonts w:hint="eastAsia"/>
        </w:rPr>
        <w:t>1〕2号</w:t>
      </w:r>
      <w:r>
        <w:t>)</w:t>
      </w:r>
      <w:r>
        <w:rPr>
          <w:rFonts w:hint="eastAsia"/>
        </w:rPr>
        <w:t>文件精神，充分保障学生平等接受教育的权利，科学选拔人才，稳步推进“专升本”考试招生工作，特制定2021年我校“专升本”考试招生工作实施方案。</w:t>
      </w:r>
    </w:p>
    <w:p>
      <w:pPr>
        <w:pStyle w:val="3"/>
        <w:ind w:left="636"/>
        <w:rPr>
          <w:rFonts w:cs="Times New Roman"/>
        </w:rPr>
      </w:pPr>
      <w:r>
        <w:rPr>
          <w:rFonts w:hint="eastAsia"/>
        </w:rPr>
        <w:t>一、组织领导</w:t>
      </w:r>
    </w:p>
    <w:p>
      <w:pPr>
        <w:ind w:left="-15" w:firstLine="641"/>
        <w:rPr>
          <w:rFonts w:cs="Times New Roman"/>
        </w:rPr>
      </w:pPr>
      <w:r>
        <w:rPr>
          <w:rFonts w:hint="eastAsia"/>
        </w:rPr>
        <w:t>学校成立“专升本”工作领导小组，负责“专升本”工作的组织、协调和监督。</w:t>
      </w:r>
    </w:p>
    <w:p>
      <w:pPr>
        <w:ind w:left="-15" w:firstLine="641"/>
        <w:rPr>
          <w:rFonts w:cs="Times New Roman"/>
        </w:rPr>
      </w:pPr>
      <w:r>
        <w:rPr>
          <w:rFonts w:hint="eastAsia"/>
        </w:rPr>
        <w:t>组</w:t>
      </w:r>
      <w:r>
        <w:t xml:space="preserve"> </w:t>
      </w:r>
      <w:r>
        <w:rPr>
          <w:rFonts w:hint="eastAsia"/>
        </w:rPr>
        <w:t>长：彭平锋</w:t>
      </w:r>
    </w:p>
    <w:p>
      <w:pPr>
        <w:spacing w:after="105"/>
        <w:ind w:left="651" w:right="0"/>
        <w:rPr>
          <w:rFonts w:cs="Times New Roman"/>
        </w:rPr>
      </w:pPr>
      <w:r>
        <w:rPr>
          <w:rFonts w:hint="eastAsia"/>
        </w:rPr>
        <w:t>副组长：赵小明</w:t>
      </w:r>
      <w:r>
        <w:t xml:space="preserve"> </w:t>
      </w:r>
      <w:r>
        <w:rPr>
          <w:rFonts w:hint="eastAsia"/>
        </w:rPr>
        <w:t>李宇虹</w:t>
      </w:r>
      <w:r>
        <w:rPr>
          <w:rFonts w:hint="eastAsia"/>
          <w:lang w:val="en-US" w:eastAsia="zh-CN"/>
        </w:rPr>
        <w:t xml:space="preserve"> </w:t>
      </w:r>
      <w:r>
        <w:rPr>
          <w:rFonts w:hint="eastAsia"/>
        </w:rPr>
        <w:t>李革新</w:t>
      </w:r>
      <w:r>
        <w:t xml:space="preserve"> </w:t>
      </w:r>
      <w:r>
        <w:rPr>
          <w:rFonts w:hint="eastAsia"/>
        </w:rPr>
        <w:t xml:space="preserve"> </w:t>
      </w:r>
    </w:p>
    <w:p>
      <w:pPr>
        <w:ind w:left="651" w:right="0"/>
        <w:rPr>
          <w:rFonts w:cs="Times New Roman"/>
        </w:rPr>
      </w:pPr>
      <w:r>
        <w:rPr>
          <w:rFonts w:hint="eastAsia"/>
        </w:rPr>
        <w:t>成</w:t>
      </w:r>
      <w:r>
        <w:t xml:space="preserve"> </w:t>
      </w:r>
      <w:r>
        <w:rPr>
          <w:rFonts w:hint="eastAsia"/>
        </w:rPr>
        <w:t>员：李斌 赖换初 毛新耕 赵皇根 谭晶莹 唐维 吴红玲 杨芳 杨靖，办公室设在教务办，办公室主任：李斌</w:t>
      </w:r>
    </w:p>
    <w:p>
      <w:pPr>
        <w:pStyle w:val="3"/>
        <w:spacing w:after="161"/>
        <w:ind w:left="636"/>
        <w:rPr>
          <w:rFonts w:cs="Times New Roman"/>
          <w:b/>
        </w:rPr>
      </w:pPr>
      <w:r>
        <w:rPr>
          <w:rFonts w:hint="eastAsia"/>
          <w:b/>
        </w:rPr>
        <w:t>二、严格规范“专升本”考试招生工作程序</w:t>
      </w:r>
    </w:p>
    <w:p>
      <w:pPr>
        <w:ind w:left="-15" w:right="0" w:firstLine="641"/>
      </w:pPr>
      <w:r>
        <w:rPr>
          <w:rFonts w:hint="eastAsia"/>
          <w:b/>
          <w:bCs/>
        </w:rPr>
        <w:t>1.招生计划下达。</w:t>
      </w:r>
      <w:r>
        <w:rPr>
          <w:rFonts w:hint="eastAsia"/>
        </w:rPr>
        <w:t>根据学校总体工作要求及自身办学条件，申报招生计划。根据办学条件等因素，我校招生计划总量为200人，各系分专业招生计划见附件1，并于3月12日前统一在“湖南省普通高等教育专升本信息管理平台”上公布。</w:t>
      </w:r>
    </w:p>
    <w:p>
      <w:pPr>
        <w:ind w:left="-15" w:right="0" w:firstLine="641"/>
        <w:rPr>
          <w:b/>
          <w:bCs/>
        </w:rPr>
      </w:pPr>
      <w:r>
        <w:rPr>
          <w:rFonts w:hint="eastAsia"/>
          <w:b/>
          <w:bCs/>
        </w:rPr>
        <w:t>2.报名。</w:t>
      </w:r>
    </w:p>
    <w:p>
      <w:pPr>
        <w:ind w:left="-15" w:right="0" w:firstLine="641"/>
      </w:pPr>
      <w:r>
        <w:rPr>
          <w:rFonts w:hint="eastAsia"/>
          <w:b/>
          <w:bCs/>
        </w:rPr>
        <w:t>（1）报名范围：</w:t>
      </w:r>
      <w:r>
        <w:rPr>
          <w:rFonts w:hint="eastAsia"/>
        </w:rPr>
        <w:t>德智体美劳全面发展、</w:t>
      </w:r>
      <w:r>
        <w:t>2021 年 6 月 30 日前能取得毕业证书的 2021 届</w:t>
      </w:r>
      <w:r>
        <w:rPr>
          <w:rFonts w:hint="eastAsia"/>
        </w:rPr>
        <w:t>湖南省属</w:t>
      </w:r>
      <w:r>
        <w:t>高职（专科）应届毕业生；毕业当年应征入伍并于 2020 年退役的</w:t>
      </w:r>
      <w:r>
        <w:rPr>
          <w:rFonts w:hint="eastAsia"/>
        </w:rPr>
        <w:t>湖南省属</w:t>
      </w:r>
      <w:r>
        <w:t>高职（专科）毕业生。</w:t>
      </w:r>
    </w:p>
    <w:p>
      <w:pPr>
        <w:ind w:left="0" w:right="0" w:firstLine="643" w:firstLineChars="200"/>
        <w:rPr>
          <w:rFonts w:ascii="Times New Roman" w:hAnsi="Times New Roman" w:cs="Times New Roman"/>
          <w:sz w:val="28"/>
          <w:szCs w:val="28"/>
        </w:rPr>
      </w:pPr>
      <w:r>
        <w:rPr>
          <w:rFonts w:hint="eastAsia"/>
          <w:b/>
          <w:bCs/>
        </w:rPr>
        <w:t>（2）网上报名。</w:t>
      </w:r>
      <w:r>
        <w:rPr>
          <w:rFonts w:hint="eastAsia"/>
        </w:rPr>
        <w:t>3月16-25日，符合报名条件的学生须登录“湖南省普通高等教育专升本信息管理平台”（网址</w:t>
      </w:r>
      <w:r>
        <w:t xml:space="preserve"> </w:t>
      </w:r>
      <w:r>
        <w:fldChar w:fldCharType="begin"/>
      </w:r>
      <w:r>
        <w:instrText xml:space="preserve"> HYPERLINK "http://zhuanshengben.jsu.edu.cn）注册并完成网上报名。" </w:instrText>
      </w:r>
      <w:r>
        <w:fldChar w:fldCharType="separate"/>
      </w:r>
      <w:r>
        <w:rPr>
          <w:rStyle w:val="9"/>
          <w:rFonts w:ascii="Times New Roman" w:hAnsi="Times New Roman" w:cs="Times New Roman"/>
          <w:sz w:val="28"/>
          <w:szCs w:val="28"/>
        </w:rPr>
        <w:t>http://zhuanshengben.jsu.edu.cn</w:t>
      </w:r>
      <w:r>
        <w:rPr>
          <w:rStyle w:val="9"/>
          <w:rFonts w:hint="eastAsia"/>
        </w:rPr>
        <w:t>）注册并完成网上报名。</w:t>
      </w:r>
      <w:r>
        <w:fldChar w:fldCharType="end"/>
      </w:r>
    </w:p>
    <w:p>
      <w:pPr>
        <w:ind w:left="-15" w:right="0" w:firstLine="641"/>
        <w:rPr>
          <w:b/>
          <w:bCs/>
        </w:rPr>
      </w:pPr>
      <w:r>
        <w:rPr>
          <w:rFonts w:hint="eastAsia"/>
          <w:b/>
          <w:bCs/>
        </w:rPr>
        <w:t>3.报名资格审查</w:t>
      </w:r>
    </w:p>
    <w:p>
      <w:pPr>
        <w:ind w:firstLine="420"/>
      </w:pPr>
      <w:r>
        <w:rPr>
          <w:rFonts w:ascii="仿宋_GB2312" w:hAnsi="宋体" w:eastAsia="仿宋_GB2312" w:cs="仿宋_GB2312"/>
          <w:kern w:val="0"/>
          <w:sz w:val="31"/>
          <w:szCs w:val="31"/>
        </w:rPr>
        <w:t>（</w:t>
      </w:r>
      <w:r>
        <w:rPr>
          <w:rFonts w:ascii="Times New Roman" w:hAnsi="Times New Roman" w:eastAsia="宋体" w:cs="Times New Roman"/>
          <w:kern w:val="0"/>
          <w:sz w:val="31"/>
          <w:szCs w:val="31"/>
        </w:rPr>
        <w:t>1</w:t>
      </w:r>
      <w:r>
        <w:rPr>
          <w:rFonts w:ascii="仿宋_GB2312" w:hAnsi="宋体" w:eastAsia="仿宋_GB2312" w:cs="仿宋_GB2312"/>
          <w:kern w:val="0"/>
          <w:sz w:val="31"/>
          <w:szCs w:val="31"/>
        </w:rPr>
        <w:t>）</w:t>
      </w:r>
      <w:r>
        <w:rPr>
          <w:rFonts w:ascii="Times New Roman" w:hAnsi="Times New Roman" w:eastAsia="宋体" w:cs="Times New Roman"/>
          <w:b/>
          <w:kern w:val="0"/>
          <w:sz w:val="31"/>
          <w:szCs w:val="31"/>
        </w:rPr>
        <w:t xml:space="preserve">4 </w:t>
      </w:r>
      <w:r>
        <w:rPr>
          <w:rFonts w:ascii="仿宋_GB2312" w:hAnsi="宋体" w:eastAsia="仿宋_GB2312" w:cs="仿宋_GB2312"/>
          <w:b/>
          <w:kern w:val="0"/>
          <w:sz w:val="31"/>
          <w:szCs w:val="31"/>
        </w:rPr>
        <w:t xml:space="preserve">月 </w:t>
      </w:r>
      <w:r>
        <w:rPr>
          <w:rFonts w:ascii="Times New Roman" w:hAnsi="Times New Roman" w:eastAsia="宋体" w:cs="Times New Roman"/>
          <w:b/>
          <w:kern w:val="0"/>
          <w:sz w:val="31"/>
          <w:szCs w:val="31"/>
        </w:rPr>
        <w:t xml:space="preserve">10 </w:t>
      </w:r>
      <w:r>
        <w:rPr>
          <w:rFonts w:ascii="仿宋_GB2312" w:hAnsi="宋体" w:eastAsia="仿宋_GB2312" w:cs="仿宋_GB2312"/>
          <w:b/>
          <w:kern w:val="0"/>
          <w:sz w:val="31"/>
          <w:szCs w:val="31"/>
        </w:rPr>
        <w:t>日前</w:t>
      </w:r>
      <w:r>
        <w:rPr>
          <w:rFonts w:ascii="仿宋_GB2312" w:hAnsi="宋体" w:eastAsia="仿宋_GB2312" w:cs="仿宋_GB2312"/>
          <w:kern w:val="0"/>
          <w:sz w:val="31"/>
          <w:szCs w:val="31"/>
        </w:rPr>
        <w:t>，高职（专科）学校在网上审核所有学生报名资格并提交确认</w:t>
      </w:r>
      <w:r>
        <w:rPr>
          <w:rFonts w:hint="eastAsia" w:ascii="仿宋_GB2312" w:hAnsi="宋体" w:eastAsia="仿宋_GB2312" w:cs="仿宋_GB2312"/>
          <w:kern w:val="0"/>
          <w:sz w:val="31"/>
          <w:szCs w:val="31"/>
        </w:rPr>
        <w:t>。</w:t>
      </w:r>
    </w:p>
    <w:p>
      <w:pPr>
        <w:ind w:firstLine="420"/>
      </w:pPr>
      <w:r>
        <w:rPr>
          <w:rFonts w:ascii="仿宋_GB2312" w:hAnsi="宋体" w:eastAsia="仿宋_GB2312" w:cs="仿宋_GB2312"/>
          <w:kern w:val="0"/>
          <w:sz w:val="31"/>
          <w:szCs w:val="31"/>
        </w:rPr>
        <w:t>（</w:t>
      </w:r>
      <w:r>
        <w:rPr>
          <w:rFonts w:hint="eastAsia" w:ascii="Times New Roman" w:hAnsi="Times New Roman" w:eastAsia="宋体" w:cs="Times New Roman"/>
          <w:kern w:val="0"/>
          <w:sz w:val="31"/>
          <w:szCs w:val="31"/>
        </w:rPr>
        <w:t>2</w:t>
      </w:r>
      <w:r>
        <w:rPr>
          <w:rFonts w:ascii="仿宋_GB2312" w:hAnsi="宋体" w:eastAsia="仿宋_GB2312" w:cs="仿宋_GB2312"/>
          <w:kern w:val="0"/>
          <w:sz w:val="31"/>
          <w:szCs w:val="31"/>
        </w:rPr>
        <w:t>）</w:t>
      </w:r>
      <w:r>
        <w:rPr>
          <w:rFonts w:ascii="仿宋_GB2312" w:hAnsi="宋体" w:eastAsia="仿宋_GB2312" w:cs="仿宋_GB2312"/>
          <w:b/>
          <w:kern w:val="0"/>
          <w:sz w:val="31"/>
          <w:szCs w:val="31"/>
        </w:rPr>
        <w:t>免试推荐毕业生资格认定。</w:t>
      </w:r>
      <w:r>
        <w:rPr>
          <w:rFonts w:ascii="仿宋_GB2312" w:hAnsi="宋体" w:eastAsia="仿宋_GB2312" w:cs="仿宋_GB2312"/>
          <w:kern w:val="0"/>
          <w:sz w:val="31"/>
          <w:szCs w:val="31"/>
        </w:rPr>
        <w:t>学生在网上报名时须标注免试推荐毕业生及免试项目。高职（专科）学校组织具有免试推荐资格的毕业生填写《</w:t>
      </w:r>
      <w:r>
        <w:rPr>
          <w:rFonts w:ascii="Times New Roman" w:hAnsi="Times New Roman" w:eastAsia="宋体" w:cs="Times New Roman"/>
          <w:kern w:val="0"/>
          <w:sz w:val="31"/>
          <w:szCs w:val="31"/>
        </w:rPr>
        <w:t xml:space="preserve">2021 </w:t>
      </w:r>
      <w:r>
        <w:rPr>
          <w:rFonts w:ascii="仿宋_GB2312" w:hAnsi="宋体" w:eastAsia="仿宋_GB2312" w:cs="仿宋_GB2312"/>
          <w:kern w:val="0"/>
          <w:sz w:val="31"/>
          <w:szCs w:val="31"/>
        </w:rPr>
        <w:t>年湖南省普通高等教育</w:t>
      </w:r>
      <w:r>
        <w:rPr>
          <w:rFonts w:ascii="Times New Roman" w:hAnsi="Times New Roman" w:eastAsia="宋体" w:cs="Times New Roman"/>
          <w:kern w:val="0"/>
          <w:sz w:val="31"/>
          <w:szCs w:val="31"/>
        </w:rPr>
        <w:t>“</w:t>
      </w:r>
      <w:r>
        <w:rPr>
          <w:rFonts w:ascii="仿宋_GB2312" w:hAnsi="宋体" w:eastAsia="仿宋_GB2312" w:cs="仿宋_GB2312"/>
          <w:kern w:val="0"/>
          <w:sz w:val="31"/>
          <w:szCs w:val="31"/>
        </w:rPr>
        <w:t>专升本</w:t>
      </w:r>
      <w:r>
        <w:rPr>
          <w:rFonts w:ascii="Times New Roman" w:hAnsi="Times New Roman" w:eastAsia="宋体" w:cs="Times New Roman"/>
          <w:kern w:val="0"/>
          <w:sz w:val="31"/>
          <w:szCs w:val="31"/>
        </w:rPr>
        <w:t>”</w:t>
      </w:r>
      <w:r>
        <w:rPr>
          <w:rFonts w:ascii="仿宋_GB2312" w:hAnsi="宋体" w:eastAsia="仿宋_GB2312" w:cs="仿宋_GB2312"/>
          <w:kern w:val="0"/>
          <w:sz w:val="31"/>
          <w:szCs w:val="31"/>
        </w:rPr>
        <w:t xml:space="preserve">考试招生免试推荐审查表》，并经高职（专科）初审公示 </w:t>
      </w:r>
      <w:r>
        <w:rPr>
          <w:rFonts w:ascii="Times New Roman" w:hAnsi="Times New Roman" w:eastAsia="宋体" w:cs="Times New Roman"/>
          <w:kern w:val="0"/>
          <w:sz w:val="31"/>
          <w:szCs w:val="31"/>
        </w:rPr>
        <w:t xml:space="preserve">7 </w:t>
      </w:r>
      <w:r>
        <w:rPr>
          <w:rFonts w:ascii="仿宋_GB2312" w:hAnsi="宋体" w:eastAsia="仿宋_GB2312" w:cs="仿宋_GB2312"/>
          <w:kern w:val="0"/>
          <w:sz w:val="31"/>
          <w:szCs w:val="31"/>
        </w:rPr>
        <w:t>天无异议后，报</w:t>
      </w:r>
      <w:r>
        <w:rPr>
          <w:rFonts w:hint="eastAsia" w:ascii="仿宋_GB2312" w:hAnsi="宋体" w:eastAsia="仿宋_GB2312" w:cs="仿宋_GB2312"/>
          <w:kern w:val="0"/>
          <w:sz w:val="31"/>
          <w:szCs w:val="31"/>
        </w:rPr>
        <w:t>湖南省教育</w:t>
      </w:r>
      <w:r>
        <w:rPr>
          <w:rFonts w:ascii="仿宋_GB2312" w:hAnsi="宋体" w:eastAsia="仿宋_GB2312" w:cs="仿宋_GB2312"/>
          <w:kern w:val="0"/>
          <w:sz w:val="31"/>
          <w:szCs w:val="31"/>
        </w:rPr>
        <w:t>厅职业教育与成人教育处牵头审核。未通过免试推荐资格认定的学生仍可参加</w:t>
      </w:r>
      <w:r>
        <w:rPr>
          <w:rFonts w:ascii="Times New Roman" w:hAnsi="Times New Roman" w:eastAsia="宋体" w:cs="Times New Roman"/>
          <w:kern w:val="0"/>
          <w:sz w:val="31"/>
          <w:szCs w:val="31"/>
        </w:rPr>
        <w:t>“</w:t>
      </w:r>
      <w:r>
        <w:rPr>
          <w:rFonts w:ascii="仿宋_GB2312" w:hAnsi="宋体" w:eastAsia="仿宋_GB2312" w:cs="仿宋_GB2312"/>
          <w:kern w:val="0"/>
          <w:sz w:val="31"/>
          <w:szCs w:val="31"/>
        </w:rPr>
        <w:t>专升本</w:t>
      </w:r>
      <w:r>
        <w:rPr>
          <w:rFonts w:ascii="Times New Roman" w:hAnsi="Times New Roman" w:eastAsia="宋体" w:cs="Times New Roman"/>
          <w:kern w:val="0"/>
          <w:sz w:val="31"/>
          <w:szCs w:val="31"/>
        </w:rPr>
        <w:t>”</w:t>
      </w:r>
      <w:r>
        <w:rPr>
          <w:rFonts w:ascii="仿宋_GB2312" w:hAnsi="宋体" w:eastAsia="仿宋_GB2312" w:cs="仿宋_GB2312"/>
          <w:kern w:val="0"/>
          <w:sz w:val="31"/>
          <w:szCs w:val="31"/>
        </w:rPr>
        <w:t xml:space="preserve">招生考试。 </w:t>
      </w:r>
    </w:p>
    <w:p>
      <w:pPr>
        <w:ind w:firstLine="420"/>
      </w:pPr>
      <w:r>
        <w:rPr>
          <w:rFonts w:ascii="仿宋_GB2312" w:hAnsi="宋体" w:eastAsia="仿宋_GB2312" w:cs="仿宋_GB2312"/>
          <w:b/>
          <w:kern w:val="0"/>
          <w:sz w:val="31"/>
          <w:szCs w:val="31"/>
        </w:rPr>
        <w:t>（</w:t>
      </w:r>
      <w:r>
        <w:rPr>
          <w:rFonts w:hint="eastAsia" w:ascii="Times New Roman" w:hAnsi="Times New Roman" w:eastAsia="宋体" w:cs="Times New Roman"/>
          <w:b/>
          <w:kern w:val="0"/>
          <w:sz w:val="31"/>
          <w:szCs w:val="31"/>
        </w:rPr>
        <w:t>3</w:t>
      </w:r>
      <w:r>
        <w:rPr>
          <w:rFonts w:ascii="仿宋_GB2312" w:hAnsi="宋体" w:eastAsia="仿宋_GB2312" w:cs="仿宋_GB2312"/>
          <w:b/>
          <w:kern w:val="0"/>
          <w:sz w:val="31"/>
          <w:szCs w:val="31"/>
        </w:rPr>
        <w:t>）建档立卡贫困家庭毕业生资格认定。</w:t>
      </w:r>
      <w:r>
        <w:rPr>
          <w:rFonts w:ascii="仿宋_GB2312" w:hAnsi="宋体" w:eastAsia="仿宋_GB2312" w:cs="仿宋_GB2312"/>
          <w:kern w:val="0"/>
          <w:sz w:val="31"/>
          <w:szCs w:val="31"/>
        </w:rPr>
        <w:t xml:space="preserve">考生在网上报名时须标注建档立卡贫困家庭毕业生。高职（专科）学校初审建档立卡贫困家庭毕业生名单（省内、省外生源分开统计）并公示 </w:t>
      </w:r>
      <w:r>
        <w:rPr>
          <w:rFonts w:ascii="Times New Roman" w:hAnsi="Times New Roman" w:eastAsia="宋体" w:cs="Times New Roman"/>
          <w:kern w:val="0"/>
          <w:sz w:val="31"/>
          <w:szCs w:val="31"/>
        </w:rPr>
        <w:t>7</w:t>
      </w:r>
      <w:r>
        <w:rPr>
          <w:rFonts w:ascii="仿宋_GB2312" w:hAnsi="宋体" w:eastAsia="仿宋_GB2312" w:cs="仿宋_GB2312"/>
          <w:kern w:val="0"/>
          <w:sz w:val="31"/>
          <w:szCs w:val="31"/>
        </w:rPr>
        <w:t>天无异议后，将加盖公章的汇总名单报</w:t>
      </w:r>
      <w:r>
        <w:rPr>
          <w:rFonts w:hint="eastAsia" w:ascii="仿宋_GB2312" w:hAnsi="宋体" w:eastAsia="仿宋_GB2312" w:cs="仿宋_GB2312"/>
          <w:kern w:val="0"/>
          <w:sz w:val="31"/>
          <w:szCs w:val="31"/>
        </w:rPr>
        <w:t>湖南省教育</w:t>
      </w:r>
      <w:r>
        <w:rPr>
          <w:rFonts w:ascii="仿宋_GB2312" w:hAnsi="宋体" w:eastAsia="仿宋_GB2312" w:cs="仿宋_GB2312"/>
          <w:kern w:val="0"/>
          <w:sz w:val="31"/>
          <w:szCs w:val="31"/>
        </w:rPr>
        <w:t xml:space="preserve">厅民族教育处复核确认。 </w:t>
      </w:r>
    </w:p>
    <w:p>
      <w:pPr>
        <w:ind w:firstLine="420"/>
        <w:rPr>
          <w:rFonts w:ascii="仿宋_GB2312" w:hAnsi="宋体" w:eastAsia="仿宋_GB2312" w:cs="仿宋_GB2312"/>
          <w:kern w:val="0"/>
          <w:sz w:val="31"/>
          <w:szCs w:val="31"/>
        </w:rPr>
      </w:pPr>
      <w:r>
        <w:rPr>
          <w:rFonts w:ascii="仿宋_GB2312" w:hAnsi="宋体" w:eastAsia="仿宋_GB2312" w:cs="仿宋_GB2312"/>
          <w:b/>
          <w:kern w:val="0"/>
          <w:sz w:val="31"/>
          <w:szCs w:val="31"/>
        </w:rPr>
        <w:t>（</w:t>
      </w:r>
      <w:r>
        <w:rPr>
          <w:rFonts w:hint="eastAsia" w:ascii="Times New Roman" w:hAnsi="Times New Roman" w:eastAsia="宋体" w:cs="Times New Roman"/>
          <w:b/>
          <w:kern w:val="0"/>
          <w:sz w:val="31"/>
          <w:szCs w:val="31"/>
        </w:rPr>
        <w:t>4</w:t>
      </w:r>
      <w:r>
        <w:rPr>
          <w:rFonts w:ascii="仿宋_GB2312" w:hAnsi="宋体" w:eastAsia="仿宋_GB2312" w:cs="仿宋_GB2312"/>
          <w:b/>
          <w:kern w:val="0"/>
          <w:sz w:val="31"/>
          <w:szCs w:val="31"/>
        </w:rPr>
        <w:t>）应征入伍退役毕业生资格认定。</w:t>
      </w:r>
      <w:r>
        <w:rPr>
          <w:rFonts w:ascii="仿宋_GB2312" w:hAnsi="宋体" w:eastAsia="仿宋_GB2312" w:cs="仿宋_GB2312"/>
          <w:kern w:val="0"/>
          <w:sz w:val="31"/>
          <w:szCs w:val="31"/>
        </w:rPr>
        <w:t>此类考生中的应届毕业生在网上报名时须标注</w:t>
      </w:r>
      <w:r>
        <w:rPr>
          <w:rFonts w:ascii="Times New Roman" w:hAnsi="Times New Roman" w:eastAsia="宋体" w:cs="Times New Roman"/>
          <w:kern w:val="0"/>
          <w:sz w:val="31"/>
          <w:szCs w:val="31"/>
        </w:rPr>
        <w:t>“</w:t>
      </w:r>
      <w:r>
        <w:rPr>
          <w:rFonts w:ascii="仿宋_GB2312" w:hAnsi="宋体" w:eastAsia="仿宋_GB2312" w:cs="仿宋_GB2312"/>
          <w:kern w:val="0"/>
          <w:sz w:val="31"/>
          <w:szCs w:val="31"/>
        </w:rPr>
        <w:t>应征入伍退役应届毕业生</w:t>
      </w:r>
      <w:r>
        <w:rPr>
          <w:rFonts w:ascii="Times New Roman" w:hAnsi="Times New Roman" w:eastAsia="宋体" w:cs="Times New Roman"/>
          <w:kern w:val="0"/>
          <w:sz w:val="31"/>
          <w:szCs w:val="31"/>
        </w:rPr>
        <w:t>”</w:t>
      </w:r>
      <w:r>
        <w:rPr>
          <w:rFonts w:ascii="仿宋_GB2312" w:hAnsi="宋体" w:eastAsia="仿宋_GB2312" w:cs="仿宋_GB2312"/>
          <w:kern w:val="0"/>
          <w:sz w:val="31"/>
          <w:szCs w:val="31"/>
        </w:rPr>
        <w:t xml:space="preserve">。高职（专科）学校对就读期间应征入伍退役应届毕业生名单进行初审并公示 </w:t>
      </w:r>
      <w:r>
        <w:rPr>
          <w:rFonts w:ascii="Times New Roman" w:hAnsi="Times New Roman" w:eastAsia="宋体" w:cs="Times New Roman"/>
          <w:kern w:val="0"/>
          <w:sz w:val="31"/>
          <w:szCs w:val="31"/>
        </w:rPr>
        <w:t xml:space="preserve">7 </w:t>
      </w:r>
      <w:r>
        <w:rPr>
          <w:rFonts w:ascii="仿宋_GB2312" w:hAnsi="宋体" w:eastAsia="仿宋_GB2312" w:cs="仿宋_GB2312"/>
          <w:kern w:val="0"/>
          <w:sz w:val="31"/>
          <w:szCs w:val="31"/>
        </w:rPr>
        <w:t>天无异议后，将汇总名单（加盖公章）和学生本人提交的原所在部队下发的嘉奖令（通令）、个人记功登记（报告）表等复印件（学校加盖公章，证明复印件与原件相符）及其他相关佐证材料报</w:t>
      </w:r>
      <w:r>
        <w:rPr>
          <w:rFonts w:hint="eastAsia" w:ascii="仿宋_GB2312" w:hAnsi="宋体" w:eastAsia="仿宋_GB2312" w:cs="仿宋_GB2312"/>
          <w:kern w:val="0"/>
          <w:sz w:val="31"/>
          <w:szCs w:val="31"/>
        </w:rPr>
        <w:t>湖南省教育</w:t>
      </w:r>
      <w:r>
        <w:rPr>
          <w:rFonts w:ascii="仿宋_GB2312" w:hAnsi="宋体" w:eastAsia="仿宋_GB2312" w:cs="仿宋_GB2312"/>
          <w:kern w:val="0"/>
          <w:sz w:val="31"/>
          <w:szCs w:val="31"/>
        </w:rPr>
        <w:t>厅学生处。</w:t>
      </w:r>
      <w:r>
        <w:rPr>
          <w:rFonts w:hint="eastAsia" w:ascii="仿宋_GB2312" w:hAnsi="宋体" w:eastAsia="仿宋_GB2312" w:cs="仿宋_GB2312"/>
          <w:kern w:val="0"/>
          <w:sz w:val="31"/>
          <w:szCs w:val="31"/>
        </w:rPr>
        <w:t>省</w:t>
      </w:r>
      <w:r>
        <w:rPr>
          <w:rFonts w:ascii="仿宋_GB2312" w:hAnsi="宋体" w:eastAsia="仿宋_GB2312" w:cs="仿宋_GB2312"/>
          <w:kern w:val="0"/>
          <w:sz w:val="31"/>
          <w:szCs w:val="31"/>
        </w:rPr>
        <w:t xml:space="preserve">就业指导中心对毕业当年应征入伍且 </w:t>
      </w:r>
      <w:r>
        <w:rPr>
          <w:rFonts w:ascii="Times New Roman" w:hAnsi="Times New Roman" w:eastAsia="宋体" w:cs="Times New Roman"/>
          <w:kern w:val="0"/>
          <w:sz w:val="31"/>
          <w:szCs w:val="31"/>
        </w:rPr>
        <w:t xml:space="preserve">2020 </w:t>
      </w:r>
      <w:r>
        <w:rPr>
          <w:rFonts w:ascii="仿宋_GB2312" w:hAnsi="宋体" w:eastAsia="仿宋_GB2312" w:cs="仿宋_GB2312"/>
          <w:kern w:val="0"/>
          <w:sz w:val="31"/>
          <w:szCs w:val="31"/>
        </w:rPr>
        <w:t>年退役毕业生名单进行初审后，将相关材料汇总报</w:t>
      </w:r>
      <w:r>
        <w:rPr>
          <w:rFonts w:hint="eastAsia" w:ascii="仿宋_GB2312" w:hAnsi="宋体" w:eastAsia="仿宋_GB2312" w:cs="仿宋_GB2312"/>
          <w:kern w:val="0"/>
          <w:sz w:val="31"/>
          <w:szCs w:val="31"/>
        </w:rPr>
        <w:t>教育厅</w:t>
      </w:r>
      <w:r>
        <w:rPr>
          <w:rFonts w:ascii="仿宋_GB2312" w:hAnsi="宋体" w:eastAsia="仿宋_GB2312" w:cs="仿宋_GB2312"/>
          <w:kern w:val="0"/>
          <w:sz w:val="31"/>
          <w:szCs w:val="31"/>
        </w:rPr>
        <w:t>学生处。</w:t>
      </w:r>
      <w:r>
        <w:rPr>
          <w:rFonts w:hint="eastAsia" w:ascii="仿宋_GB2312" w:hAnsi="宋体" w:eastAsia="仿宋_GB2312" w:cs="仿宋_GB2312"/>
          <w:kern w:val="0"/>
          <w:sz w:val="31"/>
          <w:szCs w:val="31"/>
        </w:rPr>
        <w:t>省教育厅</w:t>
      </w:r>
      <w:r>
        <w:rPr>
          <w:rFonts w:ascii="仿宋_GB2312" w:hAnsi="宋体" w:eastAsia="仿宋_GB2312" w:cs="仿宋_GB2312"/>
          <w:kern w:val="0"/>
          <w:sz w:val="31"/>
          <w:szCs w:val="31"/>
        </w:rPr>
        <w:t xml:space="preserve">学生处会同省兵役部门审核确认。 </w:t>
      </w:r>
    </w:p>
    <w:p>
      <w:pPr>
        <w:ind w:firstLine="420"/>
      </w:pPr>
      <w:r>
        <w:rPr>
          <w:rFonts w:ascii="仿宋_GB2312" w:hAnsi="宋体" w:eastAsia="仿宋_GB2312" w:cs="仿宋_GB2312"/>
          <w:kern w:val="0"/>
          <w:sz w:val="31"/>
          <w:szCs w:val="31"/>
        </w:rPr>
        <w:t>上述</w:t>
      </w:r>
      <w:r>
        <w:rPr>
          <w:rFonts w:hint="eastAsia" w:ascii="仿宋_GB2312" w:hAnsi="宋体" w:eastAsia="仿宋_GB2312" w:cs="仿宋_GB2312"/>
          <w:kern w:val="0"/>
          <w:sz w:val="31"/>
          <w:szCs w:val="31"/>
        </w:rPr>
        <w:t>（2）（3）（4）</w:t>
      </w:r>
      <w:r>
        <w:rPr>
          <w:rFonts w:ascii="仿宋_GB2312" w:hAnsi="宋体" w:eastAsia="仿宋_GB2312" w:cs="仿宋_GB2312"/>
          <w:kern w:val="0"/>
          <w:sz w:val="31"/>
          <w:szCs w:val="31"/>
        </w:rPr>
        <w:t>三类资格认定学生名单须于</w:t>
      </w:r>
      <w:r>
        <w:rPr>
          <w:rFonts w:ascii="Times New Roman" w:hAnsi="Times New Roman" w:eastAsia="宋体" w:cs="Times New Roman"/>
          <w:b/>
          <w:kern w:val="0"/>
          <w:sz w:val="31"/>
          <w:szCs w:val="31"/>
        </w:rPr>
        <w:t>4</w:t>
      </w:r>
      <w:r>
        <w:rPr>
          <w:rFonts w:ascii="仿宋_GB2312" w:hAnsi="宋体" w:eastAsia="仿宋_GB2312" w:cs="仿宋_GB2312"/>
          <w:b/>
          <w:kern w:val="0"/>
          <w:sz w:val="31"/>
          <w:szCs w:val="31"/>
        </w:rPr>
        <w:t>月</w:t>
      </w:r>
      <w:r>
        <w:rPr>
          <w:rFonts w:ascii="Times New Roman" w:hAnsi="Times New Roman" w:eastAsia="宋体" w:cs="Times New Roman"/>
          <w:b/>
          <w:kern w:val="0"/>
          <w:sz w:val="31"/>
          <w:szCs w:val="31"/>
        </w:rPr>
        <w:t>10</w:t>
      </w:r>
      <w:r>
        <w:rPr>
          <w:rFonts w:ascii="仿宋_GB2312" w:hAnsi="宋体" w:eastAsia="仿宋_GB2312" w:cs="仿宋_GB2312"/>
          <w:b/>
          <w:kern w:val="0"/>
          <w:sz w:val="31"/>
          <w:szCs w:val="31"/>
        </w:rPr>
        <w:t>日前</w:t>
      </w:r>
      <w:r>
        <w:rPr>
          <w:rFonts w:ascii="仿宋_GB2312" w:hAnsi="宋体" w:eastAsia="仿宋_GB2312" w:cs="仿宋_GB2312"/>
          <w:kern w:val="0"/>
          <w:sz w:val="31"/>
          <w:szCs w:val="31"/>
        </w:rPr>
        <w:t>提交</w:t>
      </w:r>
      <w:r>
        <w:rPr>
          <w:rFonts w:hint="eastAsia" w:ascii="仿宋_GB2312" w:hAnsi="宋体" w:eastAsia="仿宋_GB2312" w:cs="仿宋_GB2312"/>
          <w:kern w:val="0"/>
          <w:sz w:val="31"/>
          <w:szCs w:val="31"/>
        </w:rPr>
        <w:t>省教育厅</w:t>
      </w:r>
      <w:r>
        <w:rPr>
          <w:rFonts w:ascii="仿宋_GB2312" w:hAnsi="宋体" w:eastAsia="仿宋_GB2312" w:cs="仿宋_GB2312"/>
          <w:kern w:val="0"/>
          <w:sz w:val="31"/>
          <w:szCs w:val="31"/>
        </w:rPr>
        <w:t>相关处室审核。</w:t>
      </w:r>
      <w:r>
        <w:rPr>
          <w:rFonts w:hint="eastAsia" w:ascii="仿宋_GB2312" w:hAnsi="宋体" w:eastAsia="仿宋_GB2312" w:cs="仿宋_GB2312"/>
          <w:kern w:val="0"/>
          <w:sz w:val="31"/>
          <w:szCs w:val="31"/>
        </w:rPr>
        <w:t>湖南省教育</w:t>
      </w:r>
      <w:r>
        <w:rPr>
          <w:rFonts w:ascii="仿宋_GB2312" w:hAnsi="宋体" w:eastAsia="仿宋_GB2312" w:cs="仿宋_GB2312"/>
          <w:kern w:val="0"/>
          <w:sz w:val="31"/>
          <w:szCs w:val="31"/>
        </w:rPr>
        <w:t>厅将在</w:t>
      </w:r>
      <w:r>
        <w:rPr>
          <w:rFonts w:ascii="Times New Roman" w:hAnsi="Times New Roman" w:eastAsia="宋体" w:cs="Times New Roman"/>
          <w:kern w:val="0"/>
          <w:sz w:val="31"/>
          <w:szCs w:val="31"/>
        </w:rPr>
        <w:t>“</w:t>
      </w:r>
      <w:r>
        <w:rPr>
          <w:rFonts w:ascii="仿宋_GB2312" w:hAnsi="宋体" w:eastAsia="仿宋_GB2312" w:cs="仿宋_GB2312"/>
          <w:kern w:val="0"/>
          <w:sz w:val="31"/>
          <w:szCs w:val="31"/>
        </w:rPr>
        <w:t>湖南省普通高等教育专升本信息管理平台</w:t>
      </w:r>
      <w:r>
        <w:rPr>
          <w:rFonts w:ascii="Times New Roman" w:hAnsi="Times New Roman" w:eastAsia="宋体" w:cs="Times New Roman"/>
          <w:kern w:val="0"/>
          <w:sz w:val="31"/>
          <w:szCs w:val="31"/>
        </w:rPr>
        <w:t>”</w:t>
      </w:r>
      <w:r>
        <w:rPr>
          <w:rFonts w:ascii="仿宋_GB2312" w:hAnsi="宋体" w:eastAsia="仿宋_GB2312" w:cs="仿宋_GB2312"/>
          <w:kern w:val="0"/>
          <w:sz w:val="31"/>
          <w:szCs w:val="31"/>
        </w:rPr>
        <w:t>公示。</w:t>
      </w:r>
    </w:p>
    <w:p>
      <w:pPr>
        <w:ind w:left="651" w:right="0"/>
        <w:rPr>
          <w:rFonts w:cs="Times New Roman"/>
          <w:b/>
          <w:bCs/>
        </w:rPr>
      </w:pPr>
      <w:r>
        <w:rPr>
          <w:rFonts w:hint="eastAsia" w:ascii="Times New Roman" w:hAnsi="Times New Roman" w:cs="Times New Roman"/>
          <w:b/>
          <w:bCs/>
          <w:sz w:val="28"/>
          <w:szCs w:val="28"/>
        </w:rPr>
        <w:t>4.</w:t>
      </w:r>
      <w:r>
        <w:rPr>
          <w:rFonts w:hint="eastAsia"/>
          <w:b/>
          <w:bCs/>
        </w:rPr>
        <w:t>组织选拔考试</w:t>
      </w:r>
    </w:p>
    <w:p>
      <w:pPr>
        <w:ind w:left="-15" w:right="0" w:firstLine="641"/>
        <w:rPr>
          <w:rFonts w:cs="Times New Roman"/>
        </w:rPr>
      </w:pPr>
      <w:r>
        <w:rPr>
          <w:rFonts w:hint="eastAsia"/>
        </w:rPr>
        <w:t>根据经省教育厅审核确认有报名资格的学生名单，由湖南理工学院统一组织选拔考试。考试科目为三门；各专业具体考试科目见附件</w:t>
      </w:r>
      <w:r>
        <w:t>1</w:t>
      </w:r>
      <w:r>
        <w:rPr>
          <w:rFonts w:hint="eastAsia"/>
        </w:rPr>
        <w:t>。每门考试科目满分为</w:t>
      </w:r>
      <w:r>
        <w:t>100</w:t>
      </w:r>
      <w:r>
        <w:rPr>
          <w:rFonts w:hint="eastAsia"/>
        </w:rPr>
        <w:t>分，三门总分</w:t>
      </w:r>
      <w:r>
        <w:t>300</w:t>
      </w:r>
      <w:r>
        <w:rPr>
          <w:rFonts w:hint="eastAsia"/>
        </w:rPr>
        <w:t>分。“专升本”选拔考试拟定于5月22日-5月30日进行，具体时间及考试方案将在湖南理工学院教务处及南湖学院教务办网站公布。</w:t>
      </w:r>
    </w:p>
    <w:p>
      <w:pPr>
        <w:ind w:left="651" w:right="0"/>
        <w:rPr>
          <w:rFonts w:cs="Times New Roman"/>
          <w:b/>
          <w:bCs/>
        </w:rPr>
      </w:pPr>
      <w:r>
        <w:rPr>
          <w:rFonts w:hint="eastAsia"/>
          <w:b/>
          <w:bCs/>
        </w:rPr>
        <w:t>5.录取</w:t>
      </w:r>
    </w:p>
    <w:p>
      <w:pPr>
        <w:ind w:left="-15" w:right="0" w:firstLine="641"/>
      </w:pPr>
      <w:r>
        <w:rPr>
          <w:b/>
          <w:bCs/>
        </w:rPr>
        <w:t>(1)</w:t>
      </w:r>
      <w:r>
        <w:rPr>
          <w:rFonts w:hint="eastAsia"/>
          <w:b/>
          <w:bCs/>
        </w:rPr>
        <w:t>录取比例：</w:t>
      </w:r>
      <w:r>
        <w:rPr>
          <w:rFonts w:ascii="仿宋_GB2312" w:hAnsi="宋体" w:eastAsia="仿宋_GB2312" w:cs="仿宋_GB2312"/>
          <w:kern w:val="0"/>
          <w:sz w:val="31"/>
          <w:szCs w:val="31"/>
        </w:rPr>
        <w:t>当某专业实际参考人数</w:t>
      </w:r>
      <w:r>
        <w:rPr>
          <w:rFonts w:hint="eastAsia" w:ascii="仿宋_GB2312" w:hAnsi="宋体" w:eastAsia="仿宋_GB2312" w:cs="仿宋_GB2312"/>
          <w:kern w:val="0"/>
          <w:sz w:val="31"/>
          <w:szCs w:val="31"/>
        </w:rPr>
        <w:t>大于或等于计划数3倍时，</w:t>
      </w:r>
      <w:r>
        <w:rPr>
          <w:rFonts w:hint="eastAsia"/>
        </w:rPr>
        <w:t>在分专业</w:t>
      </w:r>
      <w:r>
        <w:rPr>
          <w:rFonts w:ascii="仿宋_GB2312" w:hAnsi="宋体" w:eastAsia="仿宋_GB2312" w:cs="仿宋_GB2312"/>
          <w:kern w:val="0"/>
          <w:sz w:val="31"/>
          <w:szCs w:val="31"/>
        </w:rPr>
        <w:t>招生计划范围内分专业按考生考试成绩从高分到低分择</w:t>
      </w:r>
      <w:r>
        <w:rPr>
          <w:rFonts w:hint="eastAsia" w:ascii="仿宋_GB2312" w:hAnsi="宋体" w:eastAsia="仿宋_GB2312" w:cs="仿宋_GB2312"/>
          <w:kern w:val="0"/>
          <w:sz w:val="31"/>
          <w:szCs w:val="31"/>
        </w:rPr>
        <w:t>优</w:t>
      </w:r>
      <w:r>
        <w:rPr>
          <w:rFonts w:ascii="仿宋_GB2312" w:hAnsi="宋体" w:eastAsia="仿宋_GB2312" w:cs="仿宋_GB2312"/>
          <w:kern w:val="0"/>
          <w:sz w:val="31"/>
          <w:szCs w:val="31"/>
        </w:rPr>
        <w:t>录取。</w:t>
      </w:r>
      <w:r>
        <w:rPr>
          <w:rFonts w:ascii="仿宋_GB2312" w:hAnsi="宋体" w:eastAsia="仿宋_GB2312" w:cs="仿宋_GB2312"/>
          <w:color w:val="FF0000"/>
          <w:kern w:val="0"/>
          <w:sz w:val="31"/>
          <w:szCs w:val="31"/>
        </w:rPr>
        <w:t>当某专业实际参考人数小于</w:t>
      </w:r>
      <w:r>
        <w:rPr>
          <w:rFonts w:hint="eastAsia" w:ascii="仿宋_GB2312" w:hAnsi="宋体" w:eastAsia="仿宋_GB2312" w:cs="仿宋_GB2312"/>
          <w:color w:val="FF0000"/>
          <w:kern w:val="0"/>
          <w:sz w:val="31"/>
          <w:szCs w:val="31"/>
        </w:rPr>
        <w:t>3倍</w:t>
      </w:r>
      <w:r>
        <w:rPr>
          <w:rFonts w:ascii="仿宋_GB2312" w:hAnsi="宋体" w:eastAsia="仿宋_GB2312" w:cs="仿宋_GB2312"/>
          <w:color w:val="FF0000"/>
          <w:kern w:val="0"/>
          <w:sz w:val="31"/>
          <w:szCs w:val="31"/>
        </w:rPr>
        <w:t>计划数时，该专业的录取率</w:t>
      </w:r>
      <w:r>
        <w:rPr>
          <w:rFonts w:hint="eastAsia" w:ascii="仿宋_GB2312" w:hAnsi="宋体" w:eastAsia="仿宋_GB2312" w:cs="仿宋_GB2312"/>
          <w:color w:val="FF0000"/>
          <w:kern w:val="0"/>
          <w:sz w:val="31"/>
          <w:szCs w:val="31"/>
        </w:rPr>
        <w:t>不高于50%，未录满的计划不调剂到其它专业</w:t>
      </w:r>
      <w:r>
        <w:rPr>
          <w:rFonts w:ascii="仿宋_GB2312" w:hAnsi="宋体" w:eastAsia="仿宋_GB2312" w:cs="仿宋_GB2312"/>
          <w:color w:val="FF0000"/>
          <w:kern w:val="0"/>
          <w:sz w:val="31"/>
          <w:szCs w:val="31"/>
        </w:rPr>
        <w:t>。</w:t>
      </w:r>
      <w:r>
        <w:rPr>
          <w:rFonts w:ascii="仿宋_GB2312" w:hAnsi="宋体" w:eastAsia="仿宋_GB2312" w:cs="仿宋_GB2312"/>
          <w:kern w:val="0"/>
          <w:sz w:val="31"/>
          <w:szCs w:val="31"/>
        </w:rPr>
        <w:t>建档立卡贫困家庭毕业生</w:t>
      </w:r>
      <w:r>
        <w:rPr>
          <w:rFonts w:hint="eastAsia" w:ascii="仿宋_GB2312" w:hAnsi="宋体" w:eastAsia="仿宋_GB2312" w:cs="仿宋_GB2312"/>
          <w:kern w:val="0"/>
          <w:sz w:val="31"/>
          <w:szCs w:val="31"/>
        </w:rPr>
        <w:t>和应征入伍服兵役</w:t>
      </w:r>
      <w:r>
        <w:rPr>
          <w:rFonts w:ascii="仿宋_GB2312" w:hAnsi="宋体" w:eastAsia="仿宋_GB2312" w:cs="仿宋_GB2312"/>
          <w:kern w:val="0"/>
          <w:sz w:val="31"/>
          <w:szCs w:val="31"/>
        </w:rPr>
        <w:t xml:space="preserve">高职（专科）毕业生录取比例不低于 </w:t>
      </w:r>
      <w:r>
        <w:rPr>
          <w:rFonts w:ascii="Times New Roman" w:hAnsi="Times New Roman" w:eastAsia="宋体" w:cs="Times New Roman"/>
          <w:kern w:val="0"/>
          <w:sz w:val="31"/>
          <w:szCs w:val="31"/>
        </w:rPr>
        <w:t>60%</w:t>
      </w:r>
      <w:r>
        <w:rPr>
          <w:rFonts w:hint="eastAsia" w:ascii="Times New Roman" w:hAnsi="Times New Roman" w:eastAsia="宋体" w:cs="Times New Roman"/>
          <w:kern w:val="0"/>
          <w:sz w:val="31"/>
          <w:szCs w:val="31"/>
        </w:rPr>
        <w:t>。</w:t>
      </w:r>
    </w:p>
    <w:p>
      <w:pPr>
        <w:tabs>
          <w:tab w:val="right" w:pos="8401"/>
        </w:tabs>
        <w:ind w:left="-15" w:right="0" w:firstLine="641"/>
        <w:rPr>
          <w:rFonts w:cs="Times New Roman"/>
        </w:rPr>
      </w:pPr>
      <w:r>
        <w:rPr>
          <w:rFonts w:ascii="仿宋_GB2312" w:hAnsi="宋体" w:eastAsia="仿宋_GB2312" w:cs="仿宋_GB2312"/>
          <w:kern w:val="0"/>
          <w:sz w:val="31"/>
          <w:szCs w:val="31"/>
        </w:rPr>
        <w:t>具有免试推荐资格和应征入伍退役高职（专科）毕业生实行计划单列。录取具有免试推荐资格、建档立卡贫困家庭应届毕业生、应征入伍退役高职（专科）毕业生以及出现最后一名成绩并列等情况需要追加计划的，学校</w:t>
      </w:r>
      <w:r>
        <w:rPr>
          <w:rFonts w:hint="eastAsia" w:ascii="仿宋_GB2312" w:hAnsi="宋体" w:eastAsia="仿宋_GB2312" w:cs="仿宋_GB2312"/>
          <w:kern w:val="0"/>
          <w:sz w:val="31"/>
          <w:szCs w:val="31"/>
        </w:rPr>
        <w:t>将向湖南省教育厅</w:t>
      </w:r>
      <w:r>
        <w:rPr>
          <w:rFonts w:ascii="仿宋_GB2312" w:hAnsi="宋体" w:eastAsia="仿宋_GB2312" w:cs="仿宋_GB2312"/>
          <w:kern w:val="0"/>
          <w:sz w:val="31"/>
          <w:szCs w:val="31"/>
        </w:rPr>
        <w:t>提出追加计划申请。建档立卡贫困家庭毕业生考试成绩在公布计划范围内录取的，不占用追加计划，但纳入学校该专业录取比例的计算基数</w:t>
      </w:r>
      <w:r>
        <w:rPr>
          <w:rFonts w:hint="eastAsia"/>
        </w:rPr>
        <w:t>。</w:t>
      </w:r>
    </w:p>
    <w:p>
      <w:pPr>
        <w:ind w:left="0" w:right="0" w:firstLine="640" w:firstLineChars="200"/>
        <w:rPr>
          <w:rFonts w:cs="Times New Roman"/>
        </w:rPr>
      </w:pPr>
      <w:r>
        <w:t>(2)</w:t>
      </w:r>
      <w:r>
        <w:rPr>
          <w:rFonts w:hint="eastAsia"/>
        </w:rPr>
        <w:t>根据选拔考试成绩（含加分），按不超过省教育厅下达的“专升本”计划数和选拔比例确定预录取名单。预录取名单在我校校园网上公示7天，无异议后，学校于6月15日前报省教育厅高教处审核。</w:t>
      </w:r>
    </w:p>
    <w:p>
      <w:pPr>
        <w:ind w:left="-15" w:right="0" w:firstLine="641"/>
        <w:rPr>
          <w:rFonts w:cs="Times New Roman"/>
        </w:rPr>
      </w:pPr>
      <w:r>
        <w:t>(3)</w:t>
      </w:r>
      <w:r>
        <w:rPr>
          <w:rFonts w:hint="eastAsia"/>
        </w:rPr>
        <w:t>根据由省教育厅核定的录取名单，我校拟于7月</w:t>
      </w:r>
      <w:r>
        <w:t>15</w:t>
      </w:r>
      <w:r>
        <w:rPr>
          <w:rFonts w:hint="eastAsia"/>
        </w:rPr>
        <w:t>日左右向学生发放“专升本”录取通知书。</w:t>
      </w:r>
    </w:p>
    <w:p>
      <w:pPr>
        <w:pStyle w:val="3"/>
        <w:ind w:left="636"/>
        <w:rPr>
          <w:rFonts w:cs="Times New Roman"/>
        </w:rPr>
      </w:pPr>
      <w:r>
        <w:rPr>
          <w:rFonts w:hint="eastAsia"/>
        </w:rPr>
        <w:t>三、工作安排</w:t>
      </w:r>
    </w:p>
    <w:p>
      <w:pPr>
        <w:spacing w:after="0"/>
        <w:ind w:left="651" w:right="0"/>
        <w:rPr>
          <w:rFonts w:cs="Times New Roman"/>
        </w:rPr>
      </w:pPr>
      <w:r>
        <w:t>202</w:t>
      </w:r>
      <w:r>
        <w:rPr>
          <w:rFonts w:hint="eastAsia"/>
        </w:rPr>
        <w:t>1年“专升本”工作安排见下表：</w:t>
      </w:r>
    </w:p>
    <w:tbl>
      <w:tblPr>
        <w:tblStyle w:val="6"/>
        <w:tblW w:w="9459" w:type="dxa"/>
        <w:tblInd w:w="-51" w:type="dxa"/>
        <w:tblLayout w:type="autofit"/>
        <w:tblCellMar>
          <w:top w:w="39" w:type="dxa"/>
          <w:left w:w="107" w:type="dxa"/>
          <w:bottom w:w="0" w:type="dxa"/>
          <w:right w:w="0" w:type="dxa"/>
        </w:tblCellMar>
      </w:tblPr>
      <w:tblGrid>
        <w:gridCol w:w="2756"/>
        <w:gridCol w:w="6703"/>
      </w:tblGrid>
      <w:tr>
        <w:tblPrEx>
          <w:tblCellMar>
            <w:top w:w="39" w:type="dxa"/>
            <w:left w:w="107" w:type="dxa"/>
            <w:bottom w:w="0" w:type="dxa"/>
            <w:right w:w="0" w:type="dxa"/>
          </w:tblCellMar>
        </w:tblPrEx>
        <w:trPr>
          <w:trHeight w:val="444"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rFonts w:cs="Times New Roman"/>
              </w:rPr>
            </w:pPr>
            <w:r>
              <w:rPr>
                <w:rFonts w:hint="eastAsia"/>
                <w:sz w:val="24"/>
                <w:szCs w:val="24"/>
              </w:rPr>
              <w:t>时</w:t>
            </w:r>
            <w:r>
              <w:rPr>
                <w:sz w:val="24"/>
                <w:szCs w:val="24"/>
              </w:rPr>
              <w:t xml:space="preserve"> </w:t>
            </w:r>
            <w:r>
              <w:rPr>
                <w:rFonts w:hint="eastAsia"/>
                <w:sz w:val="24"/>
                <w:szCs w:val="24"/>
              </w:rPr>
              <w:t>间</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0" w:right="104" w:firstLine="0"/>
              <w:jc w:val="center"/>
              <w:rPr>
                <w:rFonts w:cs="Times New Roman"/>
              </w:rPr>
            </w:pPr>
            <w:r>
              <w:rPr>
                <w:rFonts w:hint="eastAsia"/>
                <w:sz w:val="24"/>
                <w:szCs w:val="24"/>
              </w:rPr>
              <w:t>工</w:t>
            </w:r>
            <w:r>
              <w:rPr>
                <w:sz w:val="24"/>
                <w:szCs w:val="24"/>
              </w:rPr>
              <w:t xml:space="preserve"> </w:t>
            </w:r>
            <w:r>
              <w:rPr>
                <w:rFonts w:hint="eastAsia"/>
                <w:sz w:val="24"/>
                <w:szCs w:val="24"/>
              </w:rPr>
              <w:t>作</w:t>
            </w:r>
            <w:r>
              <w:rPr>
                <w:sz w:val="24"/>
                <w:szCs w:val="24"/>
              </w:rPr>
              <w:t xml:space="preserve"> </w:t>
            </w:r>
            <w:r>
              <w:rPr>
                <w:rFonts w:hint="eastAsia"/>
                <w:sz w:val="24"/>
                <w:szCs w:val="24"/>
              </w:rPr>
              <w:t>事</w:t>
            </w:r>
            <w:r>
              <w:rPr>
                <w:sz w:val="24"/>
                <w:szCs w:val="24"/>
              </w:rPr>
              <w:t xml:space="preserve"> </w:t>
            </w:r>
            <w:r>
              <w:rPr>
                <w:rFonts w:hint="eastAsia"/>
                <w:sz w:val="24"/>
                <w:szCs w:val="24"/>
              </w:rPr>
              <w:t>项</w:t>
            </w:r>
          </w:p>
        </w:tc>
      </w:tr>
      <w:tr>
        <w:tblPrEx>
          <w:tblCellMar>
            <w:top w:w="39" w:type="dxa"/>
            <w:left w:w="107" w:type="dxa"/>
            <w:bottom w:w="0" w:type="dxa"/>
            <w:right w:w="0" w:type="dxa"/>
          </w:tblCellMar>
        </w:tblPrEx>
        <w:trPr>
          <w:trHeight w:val="345"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1月31日前</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制定“专升本”工作方案</w:t>
            </w:r>
          </w:p>
        </w:tc>
      </w:tr>
      <w:tr>
        <w:tblPrEx>
          <w:tblCellMar>
            <w:top w:w="39" w:type="dxa"/>
            <w:left w:w="107" w:type="dxa"/>
            <w:bottom w:w="0" w:type="dxa"/>
            <w:right w:w="0" w:type="dxa"/>
          </w:tblCellMar>
        </w:tblPrEx>
        <w:trPr>
          <w:trHeight w:val="797"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2月1日-3月12日</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制定专升本专业培养方案</w:t>
            </w:r>
          </w:p>
          <w:p>
            <w:pPr>
              <w:spacing w:after="0"/>
              <w:ind w:left="306" w:right="0" w:firstLine="0"/>
              <w:jc w:val="center"/>
              <w:rPr>
                <w:sz w:val="24"/>
                <w:szCs w:val="24"/>
              </w:rPr>
            </w:pPr>
            <w:r>
              <w:rPr>
                <w:rFonts w:hint="eastAsia"/>
                <w:sz w:val="24"/>
                <w:szCs w:val="24"/>
              </w:rPr>
              <w:t>明确专升本专业学生学位授予标准，完成“湖南省普通高等教育专升本信息管理平台”相关报名信息</w:t>
            </w:r>
          </w:p>
        </w:tc>
      </w:tr>
      <w:tr>
        <w:tblPrEx>
          <w:tblCellMar>
            <w:top w:w="39" w:type="dxa"/>
            <w:left w:w="107" w:type="dxa"/>
            <w:bottom w:w="0" w:type="dxa"/>
            <w:right w:w="0" w:type="dxa"/>
          </w:tblCellMar>
        </w:tblPrEx>
        <w:trPr>
          <w:trHeight w:val="1058"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3月16-25日</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学生须登录“湖南省普通高等教育专升本信息管理平台”</w:t>
            </w:r>
            <w:r>
              <w:fldChar w:fldCharType="begin"/>
            </w:r>
            <w:r>
              <w:instrText xml:space="preserve"> HYPERLINK "http://zhuanshengben.jsu.edu.cn）注册并完成网上报名；" </w:instrText>
            </w:r>
            <w:r>
              <w:fldChar w:fldCharType="separate"/>
            </w:r>
            <w:r>
              <w:rPr>
                <w:rFonts w:hint="eastAsia"/>
                <w:sz w:val="24"/>
                <w:szCs w:val="24"/>
              </w:rPr>
              <w:t>注册并完成网上报名；</w:t>
            </w:r>
            <w:r>
              <w:fldChar w:fldCharType="end"/>
            </w:r>
          </w:p>
          <w:p>
            <w:pPr>
              <w:spacing w:after="0"/>
              <w:ind w:left="306" w:right="0" w:firstLine="0"/>
              <w:jc w:val="center"/>
              <w:rPr>
                <w:sz w:val="24"/>
                <w:szCs w:val="24"/>
              </w:rPr>
            </w:pPr>
            <w:r>
              <w:rPr>
                <w:rFonts w:hint="eastAsia"/>
                <w:sz w:val="24"/>
                <w:szCs w:val="24"/>
              </w:rPr>
              <w:t>我校安排专人受理学生报名咨询</w:t>
            </w:r>
          </w:p>
        </w:tc>
      </w:tr>
      <w:tr>
        <w:tblPrEx>
          <w:tblCellMar>
            <w:top w:w="39" w:type="dxa"/>
            <w:left w:w="107" w:type="dxa"/>
            <w:bottom w:w="0" w:type="dxa"/>
            <w:right w:w="0" w:type="dxa"/>
          </w:tblCellMar>
        </w:tblPrEx>
        <w:trPr>
          <w:trHeight w:val="90"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4月10日前</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报名资格确认（高职（专科）学校负责）</w:t>
            </w:r>
          </w:p>
        </w:tc>
      </w:tr>
      <w:tr>
        <w:tblPrEx>
          <w:tblCellMar>
            <w:top w:w="39" w:type="dxa"/>
            <w:left w:w="107" w:type="dxa"/>
            <w:bottom w:w="0" w:type="dxa"/>
            <w:right w:w="0" w:type="dxa"/>
          </w:tblCellMar>
        </w:tblPrEx>
        <w:trPr>
          <w:trHeight w:val="413"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4月20日前</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制定专升本考试组考方案，排考</w:t>
            </w:r>
          </w:p>
        </w:tc>
      </w:tr>
      <w:tr>
        <w:tblPrEx>
          <w:tblCellMar>
            <w:top w:w="39" w:type="dxa"/>
            <w:left w:w="107" w:type="dxa"/>
            <w:bottom w:w="0" w:type="dxa"/>
            <w:right w:w="0" w:type="dxa"/>
          </w:tblCellMar>
        </w:tblPrEx>
        <w:trPr>
          <w:trHeight w:val="447"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5月12日前</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发布专升本组考方案，考生</w:t>
            </w:r>
            <w:r>
              <w:rPr>
                <w:rFonts w:hint="eastAsia"/>
                <w:b/>
                <w:bCs/>
                <w:color w:val="C00000"/>
                <w:sz w:val="24"/>
                <w:szCs w:val="24"/>
              </w:rPr>
              <w:t>下载准考证</w:t>
            </w:r>
          </w:p>
        </w:tc>
      </w:tr>
      <w:tr>
        <w:tblPrEx>
          <w:tblCellMar>
            <w:top w:w="39" w:type="dxa"/>
            <w:left w:w="107" w:type="dxa"/>
            <w:bottom w:w="0" w:type="dxa"/>
            <w:right w:w="0" w:type="dxa"/>
          </w:tblCellMar>
        </w:tblPrEx>
        <w:trPr>
          <w:trHeight w:val="482"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5月22日前</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命题与制卷</w:t>
            </w:r>
          </w:p>
        </w:tc>
      </w:tr>
      <w:tr>
        <w:tblPrEx>
          <w:tblCellMar>
            <w:top w:w="39" w:type="dxa"/>
            <w:left w:w="107" w:type="dxa"/>
            <w:bottom w:w="0" w:type="dxa"/>
            <w:right w:w="0" w:type="dxa"/>
          </w:tblCellMar>
        </w:tblPrEx>
        <w:trPr>
          <w:trHeight w:val="422"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5月22-30日</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组织选拔考试，进行阅卷、评分</w:t>
            </w:r>
          </w:p>
        </w:tc>
      </w:tr>
      <w:tr>
        <w:tblPrEx>
          <w:tblCellMar>
            <w:top w:w="39" w:type="dxa"/>
            <w:left w:w="107" w:type="dxa"/>
            <w:bottom w:w="0" w:type="dxa"/>
            <w:right w:w="0" w:type="dxa"/>
          </w:tblCellMar>
        </w:tblPrEx>
        <w:trPr>
          <w:trHeight w:val="534"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6月1日-10日</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306" w:right="0" w:firstLine="0"/>
              <w:jc w:val="center"/>
              <w:rPr>
                <w:sz w:val="24"/>
                <w:szCs w:val="24"/>
              </w:rPr>
            </w:pPr>
            <w:r>
              <w:rPr>
                <w:rFonts w:hint="eastAsia"/>
                <w:sz w:val="24"/>
                <w:szCs w:val="24"/>
              </w:rPr>
              <w:t>拟录取名单在校园网上公示（不少于7天）</w:t>
            </w:r>
          </w:p>
        </w:tc>
      </w:tr>
      <w:tr>
        <w:tblPrEx>
          <w:tblCellMar>
            <w:top w:w="39" w:type="dxa"/>
            <w:left w:w="107" w:type="dxa"/>
            <w:bottom w:w="0" w:type="dxa"/>
            <w:right w:w="0" w:type="dxa"/>
          </w:tblCellMar>
        </w:tblPrEx>
        <w:trPr>
          <w:trHeight w:val="534"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37" w:right="0" w:firstLine="0"/>
              <w:jc w:val="center"/>
              <w:rPr>
                <w:rFonts w:cs="Times New Roman"/>
              </w:rPr>
            </w:pPr>
            <w:r>
              <w:rPr>
                <w:rFonts w:hint="eastAsia"/>
                <w:sz w:val="24"/>
                <w:szCs w:val="24"/>
              </w:rPr>
              <w:t>6月10-15日</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93" w:right="0" w:firstLine="0"/>
              <w:jc w:val="center"/>
              <w:rPr>
                <w:rFonts w:cs="Times New Roman"/>
              </w:rPr>
            </w:pPr>
            <w:r>
              <w:rPr>
                <w:rFonts w:hint="eastAsia"/>
                <w:sz w:val="24"/>
                <w:szCs w:val="24"/>
              </w:rPr>
              <w:t>录取注册备案名单报省教育厅高教处</w:t>
            </w:r>
          </w:p>
        </w:tc>
      </w:tr>
      <w:tr>
        <w:tblPrEx>
          <w:tblCellMar>
            <w:top w:w="39" w:type="dxa"/>
            <w:left w:w="107" w:type="dxa"/>
            <w:bottom w:w="0" w:type="dxa"/>
            <w:right w:w="0" w:type="dxa"/>
          </w:tblCellMar>
        </w:tblPrEx>
        <w:trPr>
          <w:trHeight w:val="657" w:hRule="atLeast"/>
        </w:trPr>
        <w:tc>
          <w:tcPr>
            <w:tcW w:w="2756" w:type="dxa"/>
            <w:tcBorders>
              <w:top w:val="single" w:color="000000" w:sz="4" w:space="0"/>
              <w:left w:val="single" w:color="000000" w:sz="4" w:space="0"/>
              <w:bottom w:val="single" w:color="000000" w:sz="4" w:space="0"/>
              <w:right w:val="single" w:color="000000" w:sz="4" w:space="0"/>
            </w:tcBorders>
            <w:vAlign w:val="center"/>
          </w:tcPr>
          <w:p>
            <w:pPr>
              <w:spacing w:after="0"/>
              <w:ind w:left="0" w:right="22" w:firstLine="0"/>
              <w:jc w:val="center"/>
              <w:rPr>
                <w:rFonts w:cs="Times New Roman"/>
              </w:rPr>
            </w:pPr>
            <w:r>
              <w:rPr>
                <w:rFonts w:hint="eastAsia"/>
                <w:sz w:val="24"/>
                <w:szCs w:val="24"/>
              </w:rPr>
              <w:t>6月30日-7月15日</w:t>
            </w:r>
          </w:p>
        </w:tc>
        <w:tc>
          <w:tcPr>
            <w:tcW w:w="6703" w:type="dxa"/>
            <w:tcBorders>
              <w:top w:val="single" w:color="000000" w:sz="4" w:space="0"/>
              <w:left w:val="single" w:color="000000" w:sz="4" w:space="0"/>
              <w:bottom w:val="single" w:color="000000" w:sz="4" w:space="0"/>
              <w:right w:val="single" w:color="000000" w:sz="4" w:space="0"/>
            </w:tcBorders>
            <w:vAlign w:val="center"/>
          </w:tcPr>
          <w:p>
            <w:pPr>
              <w:spacing w:after="0"/>
              <w:ind w:left="1" w:right="109" w:firstLine="480"/>
              <w:jc w:val="center"/>
              <w:rPr>
                <w:rFonts w:cs="Times New Roman"/>
              </w:rPr>
            </w:pPr>
            <w:r>
              <w:rPr>
                <w:rFonts w:hint="eastAsia"/>
                <w:sz w:val="24"/>
                <w:szCs w:val="24"/>
              </w:rPr>
              <w:t>根据省教育厅核定的录取结果，向录取学生发放“专升本”录取通知书</w:t>
            </w:r>
          </w:p>
        </w:tc>
      </w:tr>
    </w:tbl>
    <w:p>
      <w:pPr>
        <w:pStyle w:val="3"/>
        <w:ind w:left="0" w:firstLine="640" w:firstLineChars="200"/>
      </w:pPr>
      <w:r>
        <w:rPr>
          <w:rFonts w:hint="eastAsia"/>
        </w:rPr>
        <w:t>四、严格学籍管理.</w:t>
      </w:r>
    </w:p>
    <w:p>
      <w:pPr>
        <w:ind w:left="-15" w:right="0" w:firstLine="641"/>
      </w:pPr>
      <w:r>
        <w:rPr>
          <w:rFonts w:hint="eastAsia"/>
        </w:rPr>
        <w:t>（1）高职（专科）学校应按有关规定给符合毕业条件的学生发放专科毕业证书，并在中国高等教育学生信息网进行专科学历证书电子注册。学生须在我校规定时间内报到入学。9月30日前完成“专升本”学生的学籍注册工作，逾期不得再办理入学和注册手续，注册时必须严格审核专科学历电子注册信息，确保本科学籍注册信息与专科学历电子注册信息一致。因学生自动放弃入学出现的缺额不再办理补录。</w:t>
      </w:r>
    </w:p>
    <w:p>
      <w:pPr>
        <w:ind w:left="-5" w:right="0" w:firstLine="640" w:firstLineChars="200"/>
      </w:pPr>
      <w:r>
        <w:rPr>
          <w:rFonts w:hint="eastAsia"/>
          <w:color w:val="FF0000"/>
        </w:rPr>
        <w:t>（2）湖南理工学院南湖学院正在启动独立学院转设工作，“专升本”学生严格按照教育部和学校的有关规定进行学籍管理，学生</w:t>
      </w:r>
      <w:r>
        <w:rPr>
          <w:color w:val="FF0000"/>
        </w:rPr>
        <w:t>毕业文凭和学位证书按教育部有关规定执行。</w:t>
      </w:r>
      <w:r>
        <w:rPr>
          <w:rFonts w:hint="eastAsia"/>
        </w:rPr>
        <w:t>“专升本”学生直接进入普通本科201</w:t>
      </w:r>
      <w:r>
        <w:rPr>
          <w:rFonts w:hint="default"/>
          <w:lang w:val="en-US"/>
        </w:rPr>
        <w:t>9</w:t>
      </w:r>
      <w:r>
        <w:rPr>
          <w:rFonts w:hint="eastAsia"/>
        </w:rPr>
        <w:t>级学习，入校后不得转专业和转学，不得采取非普通全日制学习形式就读普通本科。在本科学校学习两年（本科学制为五年的专业学习三年），修完“专升本”的本科教学计划规定的内容，达到毕业要求的，按照《教育部关于加强高等学校学历证书规范管理的通知》（教学〔2002〕15号）规定颁发本科毕业证书。证书内容须填写“在本校</w:t>
      </w:r>
      <w:r>
        <w:t xml:space="preserve"> </w:t>
      </w:r>
      <w:r>
        <w:rPr>
          <w:rFonts w:hint="eastAsia"/>
        </w:rPr>
        <w:t>××专业专科起点本科学习”，学习时间按进入本科阶段学习的实际时间填写；学士学位证书按国务院学位委员会、教育部和我校有关规定发放。</w:t>
      </w:r>
    </w:p>
    <w:p>
      <w:pPr>
        <w:ind w:left="320" w:leftChars="100" w:right="0" w:firstLine="307" w:firstLineChars="96"/>
      </w:pPr>
      <w:r>
        <w:rPr>
          <w:rFonts w:hint="eastAsia"/>
        </w:rPr>
        <w:t>（3）专科阶段的档案由高职院校和我校有关部门按有关规定整理后，开学报名时由学生自己携带至我校。</w:t>
      </w:r>
    </w:p>
    <w:p>
      <w:pPr>
        <w:ind w:left="0" w:right="0" w:firstLine="320" w:firstLineChars="100"/>
        <w:rPr>
          <w:rFonts w:cs="Times New Roman"/>
        </w:rPr>
      </w:pPr>
      <w:r>
        <w:rPr>
          <w:rFonts w:hint="eastAsia"/>
        </w:rPr>
        <w:t>（4）根据教育部《普通高等学校学生管理规定》（中华人民共和国教育令</w:t>
      </w:r>
      <w:r>
        <w:t>41</w:t>
      </w:r>
      <w:r>
        <w:rPr>
          <w:rFonts w:hint="eastAsia"/>
        </w:rPr>
        <w:t>号）第十一条，学校在学生学籍注册前按照国家招生规定进行复查。复查内容主要包括以下方面：录取手续及程序等是否符合国家招生规定；所获得的录取资格是否真实、符合相关规定；本人及身份证明与录取通知、考生档案等是否一致；身心健康状况能否保证在校正常学习、生活。复查中发现学生存在弄虚作假、徇私舞弊等情形的，确定为复查不合格，应当取消入学资格；情节严重的，学校移交有关部门调查处理。复查中发现学生身心状况不适宜在校学习，经学校指定的二级甲等以上医院诊断，需要在家休养的，可以申请保留入学资格。</w:t>
      </w:r>
    </w:p>
    <w:p>
      <w:pPr>
        <w:pStyle w:val="3"/>
        <w:ind w:left="0" w:firstLine="640" w:firstLineChars="200"/>
        <w:rPr>
          <w:rFonts w:cs="Times New Roman"/>
        </w:rPr>
      </w:pPr>
      <w:r>
        <w:rPr>
          <w:rFonts w:hint="eastAsia"/>
        </w:rPr>
        <w:t>五、其他事项</w:t>
      </w:r>
    </w:p>
    <w:p>
      <w:pPr>
        <w:ind w:left="-15" w:right="0" w:firstLine="641"/>
        <w:rPr>
          <w:rFonts w:cs="Times New Roman"/>
        </w:rPr>
      </w:pPr>
      <w:r>
        <w:t>1.</w:t>
      </w:r>
      <w:r>
        <w:rPr>
          <w:rFonts w:hint="eastAsia"/>
        </w:rPr>
        <w:t>加强组织领导。“专升本”工作是一项要求高、涉及面广、原则性强的工作，必须坚持公开、公平、公正和择优原则。各相关学院要切实加强“专升本”工作的组织领导，明确专人具体负责此项工作，制定周密的工作实施方案，严格执行选拔标准，确保各项工作的有序进行。</w:t>
      </w:r>
    </w:p>
    <w:p>
      <w:pPr>
        <w:spacing w:after="136"/>
        <w:ind w:left="-15" w:right="0" w:firstLine="641"/>
        <w:rPr>
          <w:rFonts w:cs="Times New Roman"/>
        </w:rPr>
      </w:pPr>
      <w:r>
        <w:t xml:space="preserve">2. </w:t>
      </w:r>
      <w:r>
        <w:rPr>
          <w:rFonts w:hint="eastAsia"/>
        </w:rPr>
        <w:t>严肃工作纪律。“专升本”考试和选拔等工作按照校务公开要求，实行全程公开。学校纪检监察部门对“专升本”工作实行全程监督，确保全面实行“阳光选拔”。对违规操作或有徇私舞弊行为的，要严肃追究相关责任人的纪律或法律责任。</w:t>
      </w:r>
    </w:p>
    <w:p>
      <w:pPr>
        <w:ind w:left="304" w:leftChars="95" w:right="0" w:firstLine="307" w:firstLineChars="96"/>
      </w:pPr>
      <w:r>
        <w:t>3.</w:t>
      </w:r>
      <w:r>
        <w:rPr>
          <w:rFonts w:hint="eastAsia"/>
        </w:rPr>
        <w:t>做好疫情防控，确保考试安全。考前14天至考试日，考生应每日做好居家健康检测，不要前往中高风险地区。考生居家地从低风险变为中风险的，考前3天和考前7天做核酸检测，凭核酸检测阴性证明参加考试。在考前14天内未经我校同意前往中高风险地区的，取消考试资格。</w:t>
      </w:r>
    </w:p>
    <w:p>
      <w:pPr>
        <w:ind w:left="320" w:leftChars="100" w:right="0" w:firstLine="307" w:firstLineChars="96"/>
      </w:pPr>
      <w:r>
        <w:rPr>
          <w:rFonts w:hint="eastAsia"/>
        </w:rPr>
        <w:t>4.及时通知公告。“专升本”有关信息可在湖南理工学院南湖学院教务办网站（</w:t>
      </w:r>
      <w:r>
        <w:t>https://nhjwb.hnist.cn</w:t>
      </w:r>
      <w:r>
        <w:rPr>
          <w:rFonts w:hint="eastAsia"/>
        </w:rPr>
        <w:t>）或湖南理工学院教务处网站（http://jwc.hnist.cn）查询其他未尽事项请向我校教务办咨询，咨询电话：</w:t>
      </w:r>
      <w:r>
        <w:t>0730-864</w:t>
      </w:r>
      <w:r>
        <w:rPr>
          <w:rFonts w:hint="eastAsia"/>
        </w:rPr>
        <w:t>8845，联系人：杨靖老师。</w:t>
      </w:r>
    </w:p>
    <w:p>
      <w:pPr>
        <w:spacing w:after="2" w:line="298" w:lineRule="auto"/>
        <w:ind w:left="-15" w:right="150" w:firstLine="590"/>
        <w:jc w:val="both"/>
        <w:rPr>
          <w:rFonts w:cs="Times New Roman"/>
        </w:rPr>
      </w:pPr>
      <w:r>
        <w:rPr>
          <w:rFonts w:hint="eastAsia"/>
          <w:sz w:val="30"/>
          <w:szCs w:val="30"/>
        </w:rPr>
        <w:t>附件1：湖南理工学院南湖学院</w:t>
      </w:r>
      <w:r>
        <w:rPr>
          <w:sz w:val="30"/>
          <w:szCs w:val="30"/>
        </w:rPr>
        <w:t>202</w:t>
      </w:r>
      <w:r>
        <w:rPr>
          <w:rFonts w:hint="eastAsia"/>
          <w:sz w:val="30"/>
          <w:szCs w:val="30"/>
        </w:rPr>
        <w:t>1年“专升本”各专业招生计划表</w:t>
      </w:r>
    </w:p>
    <w:p>
      <w:pPr>
        <w:spacing w:after="0"/>
        <w:ind w:left="-15" w:right="0" w:firstLine="0"/>
        <w:jc w:val="both"/>
        <w:rPr>
          <w:rFonts w:cs="Times New Roman"/>
          <w:sz w:val="28"/>
          <w:szCs w:val="28"/>
        </w:rPr>
      </w:pPr>
    </w:p>
    <w:p>
      <w:pPr>
        <w:rPr>
          <w:rFonts w:cs="Times New Roman"/>
        </w:rPr>
        <w:sectPr>
          <w:pgSz w:w="11906" w:h="16838"/>
          <w:pgMar w:top="1440" w:right="1440" w:bottom="1440" w:left="1440" w:header="720" w:footer="720" w:gutter="0"/>
          <w:pgBorders>
            <w:top w:val="none" w:sz="0" w:space="0"/>
            <w:left w:val="none" w:sz="0" w:space="0"/>
            <w:bottom w:val="none" w:sz="0" w:space="0"/>
            <w:right w:val="none" w:sz="0" w:space="0"/>
          </w:pgBorders>
          <w:cols w:space="720" w:num="1"/>
        </w:sectPr>
      </w:pPr>
      <w:r>
        <w:rPr>
          <w:rFonts w:hint="eastAsia"/>
          <w:sz w:val="28"/>
          <w:szCs w:val="28"/>
        </w:rPr>
        <w:br w:type="page"/>
      </w:r>
    </w:p>
    <w:p>
      <w:pPr>
        <w:spacing w:after="64"/>
        <w:ind w:left="0" w:leftChars="0" w:right="0" w:firstLine="0" w:firstLineChars="0"/>
        <w:rPr>
          <w:rFonts w:hint="eastAsia"/>
          <w:b/>
          <w:bCs/>
        </w:rPr>
      </w:pPr>
      <w:r>
        <w:rPr>
          <w:rFonts w:hint="eastAsia"/>
          <w:sz w:val="28"/>
          <w:szCs w:val="28"/>
        </w:rPr>
        <w:t>附件</w:t>
      </w:r>
      <w:r>
        <w:rPr>
          <w:rFonts w:hint="eastAsia"/>
          <w:lang w:val="en-US" w:eastAsia="zh-CN"/>
        </w:rPr>
        <w:t>1</w:t>
      </w:r>
      <w:r>
        <w:t xml:space="preserve">: </w:t>
      </w:r>
      <w:r>
        <w:rPr>
          <w:rFonts w:hint="eastAsia"/>
          <w:lang w:val="en-US" w:eastAsia="zh-CN"/>
        </w:rPr>
        <w:t xml:space="preserve">           </w:t>
      </w:r>
      <w:r>
        <w:rPr>
          <w:rFonts w:hint="eastAsia"/>
          <w:b/>
          <w:bCs/>
        </w:rPr>
        <w:t>湖南理工学院</w:t>
      </w:r>
      <w:r>
        <w:rPr>
          <w:rFonts w:hint="eastAsia"/>
          <w:b/>
          <w:bCs/>
          <w:lang w:eastAsia="zh-CN"/>
        </w:rPr>
        <w:t>南湖学院</w:t>
      </w:r>
      <w:r>
        <w:rPr>
          <w:b/>
          <w:bCs/>
        </w:rPr>
        <w:t>202</w:t>
      </w:r>
      <w:r>
        <w:rPr>
          <w:rFonts w:hint="eastAsia"/>
          <w:b/>
          <w:bCs/>
          <w:lang w:val="en-US" w:eastAsia="zh-CN"/>
        </w:rPr>
        <w:t>1年</w:t>
      </w:r>
      <w:r>
        <w:rPr>
          <w:rFonts w:hint="eastAsia"/>
          <w:b/>
          <w:bCs/>
        </w:rPr>
        <w:t>“专升本”各专业招生</w:t>
      </w:r>
      <w:r>
        <w:rPr>
          <w:rFonts w:hint="eastAsia"/>
          <w:b/>
          <w:bCs/>
          <w:lang w:eastAsia="zh-CN"/>
        </w:rPr>
        <w:t>考试科目计</w:t>
      </w:r>
      <w:r>
        <w:rPr>
          <w:rFonts w:hint="eastAsia"/>
          <w:b/>
          <w:bCs/>
        </w:rPr>
        <w:t>划表</w:t>
      </w:r>
    </w:p>
    <w:tbl>
      <w:tblPr>
        <w:tblStyle w:val="6"/>
        <w:tblW w:w="14062" w:type="dxa"/>
        <w:tblInd w:w="-6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0" w:type="dxa"/>
          <w:bottom w:w="0" w:type="dxa"/>
          <w:right w:w="0" w:type="dxa"/>
        </w:tblCellMar>
      </w:tblPr>
      <w:tblGrid>
        <w:gridCol w:w="613"/>
        <w:gridCol w:w="915"/>
        <w:gridCol w:w="2432"/>
        <w:gridCol w:w="1121"/>
        <w:gridCol w:w="1058"/>
        <w:gridCol w:w="1374"/>
        <w:gridCol w:w="1405"/>
        <w:gridCol w:w="5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70" w:hRule="exact"/>
        </w:trPr>
        <w:tc>
          <w:tcPr>
            <w:tcW w:w="613" w:type="dxa"/>
            <w:vMerge w:val="restart"/>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15" w:type="dxa"/>
            <w:vMerge w:val="restart"/>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eastAsia="zh-CN"/>
              </w:rPr>
            </w:pPr>
            <w:r>
              <w:rPr>
                <w:rFonts w:hint="eastAsia" w:ascii="宋体" w:hAnsi="宋体" w:eastAsia="宋体" w:cs="宋体"/>
                <w:b/>
                <w:i w:val="0"/>
                <w:color w:val="000000"/>
                <w:sz w:val="20"/>
                <w:szCs w:val="20"/>
                <w:u w:val="none"/>
                <w:lang w:eastAsia="zh-CN"/>
              </w:rPr>
              <w:t>系部</w:t>
            </w:r>
          </w:p>
        </w:tc>
        <w:tc>
          <w:tcPr>
            <w:tcW w:w="2432" w:type="dxa"/>
            <w:vMerge w:val="restart"/>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专业名</w:t>
            </w:r>
          </w:p>
        </w:tc>
        <w:tc>
          <w:tcPr>
            <w:tcW w:w="1121" w:type="dxa"/>
            <w:vMerge w:val="restart"/>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“专升本”招生人数</w:t>
            </w:r>
          </w:p>
        </w:tc>
        <w:tc>
          <w:tcPr>
            <w:tcW w:w="3837" w:type="dxa"/>
            <w:gridSpan w:val="3"/>
            <w:shd w:val="clear" w:color="auto" w:fill="auto"/>
            <w:tcMar>
              <w:top w:w="5" w:type="dxa"/>
              <w:left w:w="5" w:type="dxa"/>
              <w:right w:w="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考试科目</w:t>
            </w:r>
          </w:p>
        </w:tc>
        <w:tc>
          <w:tcPr>
            <w:tcW w:w="5144" w:type="dxa"/>
            <w:vMerge w:val="restart"/>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参考教材或考试范围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564" w:hRule="exact"/>
        </w:trPr>
        <w:tc>
          <w:tcPr>
            <w:tcW w:w="613" w:type="dxa"/>
            <w:vMerge w:val="continue"/>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915" w:type="dxa"/>
            <w:vMerge w:val="continue"/>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2432" w:type="dxa"/>
            <w:vMerge w:val="continue"/>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1121" w:type="dxa"/>
            <w:vMerge w:val="continue"/>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1058"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科目1（公共科目）</w:t>
            </w:r>
          </w:p>
        </w:tc>
        <w:tc>
          <w:tcPr>
            <w:tcW w:w="1374"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科目2（公共科目）</w:t>
            </w:r>
          </w:p>
        </w:tc>
        <w:tc>
          <w:tcPr>
            <w:tcW w:w="1405"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科目3（专业综合）</w:t>
            </w:r>
          </w:p>
        </w:tc>
        <w:tc>
          <w:tcPr>
            <w:tcW w:w="5144" w:type="dxa"/>
            <w:vMerge w:val="continue"/>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3" w:hRule="exact"/>
        </w:trPr>
        <w:tc>
          <w:tcPr>
            <w:tcW w:w="613"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1</w:t>
            </w:r>
          </w:p>
        </w:tc>
        <w:tc>
          <w:tcPr>
            <w:tcW w:w="915"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eastAsia="zh-CN"/>
              </w:rPr>
            </w:pPr>
            <w:r>
              <w:rPr>
                <w:rFonts w:hint="eastAsia" w:ascii="宋体" w:hAnsi="宋体" w:eastAsia="宋体" w:cs="宋体"/>
                <w:b/>
                <w:bCs/>
                <w:i w:val="0"/>
                <w:color w:val="000000"/>
                <w:sz w:val="20"/>
                <w:szCs w:val="20"/>
                <w:u w:val="none"/>
                <w:lang w:eastAsia="zh-CN"/>
              </w:rPr>
              <w:t>文法系</w:t>
            </w:r>
          </w:p>
        </w:tc>
        <w:tc>
          <w:tcPr>
            <w:tcW w:w="2432"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法学</w:t>
            </w:r>
          </w:p>
        </w:tc>
        <w:tc>
          <w:tcPr>
            <w:tcW w:w="1121"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w:t>
            </w:r>
          </w:p>
        </w:tc>
        <w:tc>
          <w:tcPr>
            <w:tcW w:w="1058"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大学英语</w:t>
            </w:r>
          </w:p>
        </w:tc>
        <w:tc>
          <w:tcPr>
            <w:tcW w:w="137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大学语文</w:t>
            </w:r>
          </w:p>
        </w:tc>
        <w:tc>
          <w:tcPr>
            <w:tcW w:w="140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法学概论</w:t>
            </w:r>
          </w:p>
        </w:tc>
        <w:tc>
          <w:tcPr>
            <w:tcW w:w="5144" w:type="dxa"/>
            <w:shd w:val="clear" w:color="auto" w:fill="auto"/>
            <w:tcMar>
              <w:top w:w="5" w:type="dxa"/>
              <w:left w:w="5" w:type="dxa"/>
              <w:right w:w="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参考教材：《法学概论》，作者：谷春德、杨晓青，中国人民大学出版社，2018</w:t>
            </w:r>
          </w:p>
          <w:p>
            <w:pPr>
              <w:keepNext w:val="0"/>
              <w:keepLines w:val="0"/>
              <w:widowControl/>
              <w:suppressLineNumbers w:val="0"/>
              <w:ind w:left="10" w:leftChars="0" w:right="166" w:rightChars="0" w:hanging="1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考试范围：法理学、宪法、刑法、民法总则、婚姻法、继承法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662" w:hRule="exact"/>
        </w:trPr>
        <w:tc>
          <w:tcPr>
            <w:tcW w:w="613"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2</w:t>
            </w:r>
          </w:p>
        </w:tc>
        <w:tc>
          <w:tcPr>
            <w:tcW w:w="915"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eastAsia="zh-CN"/>
              </w:rPr>
            </w:pPr>
            <w:r>
              <w:rPr>
                <w:rFonts w:hint="eastAsia" w:ascii="宋体" w:hAnsi="宋体" w:eastAsia="宋体" w:cs="宋体"/>
                <w:b/>
                <w:bCs/>
                <w:i w:val="0"/>
                <w:color w:val="000000"/>
                <w:sz w:val="20"/>
                <w:szCs w:val="20"/>
                <w:u w:val="none"/>
                <w:lang w:eastAsia="zh-CN"/>
              </w:rPr>
              <w:t>体育系</w:t>
            </w:r>
          </w:p>
        </w:tc>
        <w:tc>
          <w:tcPr>
            <w:tcW w:w="2432"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体育教育</w:t>
            </w:r>
          </w:p>
        </w:tc>
        <w:tc>
          <w:tcPr>
            <w:tcW w:w="1121"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w:t>
            </w:r>
          </w:p>
        </w:tc>
        <w:tc>
          <w:tcPr>
            <w:tcW w:w="1058"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大学英语</w:t>
            </w:r>
          </w:p>
        </w:tc>
        <w:tc>
          <w:tcPr>
            <w:tcW w:w="137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大学语文</w:t>
            </w:r>
          </w:p>
        </w:tc>
        <w:tc>
          <w:tcPr>
            <w:tcW w:w="140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体育综合</w:t>
            </w:r>
          </w:p>
        </w:tc>
        <w:tc>
          <w:tcPr>
            <w:tcW w:w="514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1.《学校体育学》(第三版)，作者：潘绍伟.于可红，高考教育出版社；2.运动技能测试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exact"/>
        </w:trPr>
        <w:tc>
          <w:tcPr>
            <w:tcW w:w="613"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3</w:t>
            </w:r>
          </w:p>
        </w:tc>
        <w:tc>
          <w:tcPr>
            <w:tcW w:w="915"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eastAsia="zh-CN"/>
              </w:rPr>
            </w:pPr>
            <w:r>
              <w:rPr>
                <w:rFonts w:hint="eastAsia" w:ascii="宋体" w:hAnsi="宋体" w:eastAsia="宋体" w:cs="宋体"/>
                <w:b/>
                <w:bCs/>
                <w:i w:val="0"/>
                <w:color w:val="000000"/>
                <w:sz w:val="20"/>
                <w:szCs w:val="20"/>
                <w:u w:val="none"/>
                <w:lang w:eastAsia="zh-CN"/>
              </w:rPr>
              <w:t>外贸系</w:t>
            </w:r>
          </w:p>
        </w:tc>
        <w:tc>
          <w:tcPr>
            <w:tcW w:w="2432"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英语</w:t>
            </w:r>
          </w:p>
        </w:tc>
        <w:tc>
          <w:tcPr>
            <w:tcW w:w="1121"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default"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2"/>
                <w:sz w:val="20"/>
                <w:szCs w:val="20"/>
                <w:highlight w:val="none"/>
                <w:u w:val="none"/>
                <w:lang w:val="en-US" w:eastAsia="zh-CN" w:bidi="ar-SA"/>
              </w:rPr>
              <w:t>20</w:t>
            </w:r>
          </w:p>
        </w:tc>
        <w:tc>
          <w:tcPr>
            <w:tcW w:w="1058"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综合英语</w:t>
            </w:r>
          </w:p>
        </w:tc>
        <w:tc>
          <w:tcPr>
            <w:tcW w:w="137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大学语文</w:t>
            </w:r>
          </w:p>
        </w:tc>
        <w:tc>
          <w:tcPr>
            <w:tcW w:w="140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英语听说</w:t>
            </w:r>
          </w:p>
        </w:tc>
        <w:tc>
          <w:tcPr>
            <w:tcW w:w="5144" w:type="dxa"/>
            <w:shd w:val="clear" w:color="auto" w:fill="auto"/>
            <w:tcMar>
              <w:top w:w="5" w:type="dxa"/>
              <w:left w:w="5" w:type="dxa"/>
              <w:right w:w="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1、《综合教程(第2版)3》(学生)，ISBN：9787544631327，出版社：上海外语教育出版社，主编：史志康2、《新国标英语专业核心教材视听说教程3》ISBN：9787544660808，出版社：上海外语教育出版社，主编：蒋洪新/李德凤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1293" w:hRule="exact"/>
        </w:trPr>
        <w:tc>
          <w:tcPr>
            <w:tcW w:w="613"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4</w:t>
            </w:r>
          </w:p>
        </w:tc>
        <w:tc>
          <w:tcPr>
            <w:tcW w:w="915"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eastAsia="zh-CN"/>
              </w:rPr>
            </w:pPr>
            <w:r>
              <w:rPr>
                <w:rFonts w:hint="eastAsia" w:ascii="宋体" w:hAnsi="宋体" w:eastAsia="宋体" w:cs="宋体"/>
                <w:b/>
                <w:bCs/>
                <w:i w:val="0"/>
                <w:color w:val="000000"/>
                <w:sz w:val="20"/>
                <w:szCs w:val="20"/>
                <w:u w:val="none"/>
                <w:lang w:eastAsia="zh-CN"/>
              </w:rPr>
              <w:t>文法系</w:t>
            </w:r>
          </w:p>
        </w:tc>
        <w:tc>
          <w:tcPr>
            <w:tcW w:w="2432"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新闻学</w:t>
            </w:r>
          </w:p>
        </w:tc>
        <w:tc>
          <w:tcPr>
            <w:tcW w:w="1121"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20</w:t>
            </w:r>
          </w:p>
        </w:tc>
        <w:tc>
          <w:tcPr>
            <w:tcW w:w="1058"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大学英语</w:t>
            </w:r>
          </w:p>
        </w:tc>
        <w:tc>
          <w:tcPr>
            <w:tcW w:w="137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大学语文</w:t>
            </w:r>
          </w:p>
        </w:tc>
        <w:tc>
          <w:tcPr>
            <w:tcW w:w="140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微软雅黑" w:hAnsi="微软雅黑" w:eastAsia="微软雅黑" w:cs="微软雅黑"/>
                <w:i w:val="0"/>
                <w:iCs w:val="0"/>
                <w:sz w:val="18"/>
                <w:szCs w:val="18"/>
                <w:vertAlign w:val="baseline"/>
                <w:lang w:val="en-US" w:eastAsia="zh-CN"/>
              </w:rPr>
              <w:t>新闻理论与实务综合</w:t>
            </w:r>
          </w:p>
        </w:tc>
        <w:tc>
          <w:tcPr>
            <w:tcW w:w="5144" w:type="dxa"/>
            <w:shd w:val="clear" w:color="auto" w:fill="auto"/>
            <w:tcMar>
              <w:top w:w="5" w:type="dxa"/>
              <w:left w:w="5" w:type="dxa"/>
              <w:right w:w="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1.新闻学概论：《新闻学概论》，高等教育出版社;</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2.传播学概论：《传播学教程》，郭庆光著，中国人民大学出版社;3.中外新闻史：《中国新闻事业史》，丁淦林；《外国新闻事业史教程》，张允若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5" w:hRule="exact"/>
        </w:trPr>
        <w:tc>
          <w:tcPr>
            <w:tcW w:w="613"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5</w:t>
            </w:r>
          </w:p>
        </w:tc>
        <w:tc>
          <w:tcPr>
            <w:tcW w:w="915"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eastAsia="zh-CN"/>
              </w:rPr>
            </w:pPr>
            <w:r>
              <w:rPr>
                <w:rFonts w:hint="eastAsia" w:ascii="宋体" w:hAnsi="宋体" w:eastAsia="宋体" w:cs="宋体"/>
                <w:b/>
                <w:bCs/>
                <w:i w:val="0"/>
                <w:color w:val="000000"/>
                <w:sz w:val="20"/>
                <w:szCs w:val="20"/>
                <w:u w:val="none"/>
                <w:lang w:eastAsia="zh-CN"/>
              </w:rPr>
              <w:t>工程系</w:t>
            </w:r>
          </w:p>
        </w:tc>
        <w:tc>
          <w:tcPr>
            <w:tcW w:w="2432"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制药工程</w:t>
            </w:r>
          </w:p>
        </w:tc>
        <w:tc>
          <w:tcPr>
            <w:tcW w:w="1121"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w:t>
            </w:r>
          </w:p>
        </w:tc>
        <w:tc>
          <w:tcPr>
            <w:tcW w:w="1058"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大学英语</w:t>
            </w:r>
          </w:p>
        </w:tc>
        <w:tc>
          <w:tcPr>
            <w:tcW w:w="137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高等数学</w:t>
            </w:r>
          </w:p>
        </w:tc>
        <w:tc>
          <w:tcPr>
            <w:tcW w:w="140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有机化学</w:t>
            </w:r>
          </w:p>
        </w:tc>
        <w:tc>
          <w:tcPr>
            <w:tcW w:w="514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选用教材名称:《有机化学》（第四版）;国际标准书号:ISBN9787040339604;主编(译):陈洪超、罗美明、李映苓;出版社:高等教育出版社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7" w:hRule="exact"/>
        </w:trPr>
        <w:tc>
          <w:tcPr>
            <w:tcW w:w="613"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6</w:t>
            </w:r>
          </w:p>
        </w:tc>
        <w:tc>
          <w:tcPr>
            <w:tcW w:w="915"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eastAsia="zh-CN"/>
              </w:rPr>
            </w:pPr>
            <w:r>
              <w:rPr>
                <w:rFonts w:hint="eastAsia" w:ascii="宋体" w:hAnsi="宋体" w:eastAsia="宋体" w:cs="宋体"/>
                <w:b/>
                <w:bCs/>
                <w:i w:val="0"/>
                <w:color w:val="000000"/>
                <w:sz w:val="20"/>
                <w:szCs w:val="20"/>
                <w:u w:val="none"/>
                <w:lang w:eastAsia="zh-CN"/>
              </w:rPr>
              <w:t>机电系</w:t>
            </w:r>
          </w:p>
        </w:tc>
        <w:tc>
          <w:tcPr>
            <w:tcW w:w="2432"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机械电子工程</w:t>
            </w:r>
          </w:p>
        </w:tc>
        <w:tc>
          <w:tcPr>
            <w:tcW w:w="1121"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w:t>
            </w:r>
          </w:p>
        </w:tc>
        <w:tc>
          <w:tcPr>
            <w:tcW w:w="1058" w:type="dxa"/>
            <w:shd w:val="clear" w:color="auto" w:fill="auto"/>
            <w:tcMar>
              <w:top w:w="5" w:type="dxa"/>
              <w:left w:w="5" w:type="dxa"/>
              <w:right w:w="5" w:type="dxa"/>
            </w:tcMar>
            <w:vAlign w:val="center"/>
          </w:tcPr>
          <w:p>
            <w:pPr>
              <w:ind w:left="10" w:leftChars="0" w:right="166" w:rightChars="0" w:hanging="10" w:firstLineChars="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kern w:val="0"/>
                <w:sz w:val="20"/>
                <w:szCs w:val="20"/>
                <w:lang w:bidi="ar"/>
              </w:rPr>
              <w:t>大学英语</w:t>
            </w:r>
          </w:p>
        </w:tc>
        <w:tc>
          <w:tcPr>
            <w:tcW w:w="1374" w:type="dxa"/>
            <w:shd w:val="clear" w:color="auto" w:fill="auto"/>
            <w:tcMar>
              <w:top w:w="5" w:type="dxa"/>
              <w:left w:w="5" w:type="dxa"/>
              <w:right w:w="5" w:type="dxa"/>
            </w:tcMar>
            <w:vAlign w:val="center"/>
          </w:tcPr>
          <w:p>
            <w:pPr>
              <w:ind w:left="10" w:leftChars="0" w:right="166" w:rightChars="0" w:hanging="10" w:firstLineChars="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kern w:val="0"/>
                <w:sz w:val="20"/>
                <w:szCs w:val="20"/>
                <w:lang w:bidi="ar"/>
              </w:rPr>
              <w:t>高等数学</w:t>
            </w:r>
          </w:p>
        </w:tc>
        <w:tc>
          <w:tcPr>
            <w:tcW w:w="1405" w:type="dxa"/>
            <w:shd w:val="clear" w:color="auto" w:fill="auto"/>
            <w:tcMar>
              <w:top w:w="5" w:type="dxa"/>
              <w:left w:w="5" w:type="dxa"/>
              <w:right w:w="5" w:type="dxa"/>
            </w:tcMar>
            <w:vAlign w:val="center"/>
          </w:tcPr>
          <w:p>
            <w:pPr>
              <w:ind w:left="10" w:leftChars="0" w:right="166" w:rightChars="0" w:hanging="10" w:firstLineChars="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kern w:val="0"/>
                <w:sz w:val="20"/>
                <w:szCs w:val="20"/>
                <w:lang w:bidi="ar"/>
              </w:rPr>
              <w:t>机械设计基础</w:t>
            </w:r>
          </w:p>
        </w:tc>
        <w:tc>
          <w:tcPr>
            <w:tcW w:w="5144" w:type="dxa"/>
            <w:shd w:val="clear" w:color="auto" w:fill="auto"/>
            <w:tcMar>
              <w:top w:w="5" w:type="dxa"/>
              <w:left w:w="5" w:type="dxa"/>
              <w:right w:w="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《机械设计基础》，高等教育出版社，主编：陈云飞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737" w:hRule="exact"/>
        </w:trPr>
        <w:tc>
          <w:tcPr>
            <w:tcW w:w="613"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7</w:t>
            </w:r>
          </w:p>
        </w:tc>
        <w:tc>
          <w:tcPr>
            <w:tcW w:w="915"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lang w:eastAsia="zh-CN"/>
              </w:rPr>
            </w:pPr>
            <w:r>
              <w:rPr>
                <w:rFonts w:hint="eastAsia" w:ascii="宋体" w:hAnsi="宋体" w:eastAsia="宋体" w:cs="宋体"/>
                <w:b/>
                <w:bCs/>
                <w:i w:val="0"/>
                <w:color w:val="000000"/>
                <w:sz w:val="20"/>
                <w:szCs w:val="20"/>
                <w:u w:val="none"/>
                <w:lang w:eastAsia="zh-CN"/>
              </w:rPr>
              <w:t>机电系</w:t>
            </w:r>
          </w:p>
        </w:tc>
        <w:tc>
          <w:tcPr>
            <w:tcW w:w="2432"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机械设计制造及其自动化</w:t>
            </w:r>
          </w:p>
        </w:tc>
        <w:tc>
          <w:tcPr>
            <w:tcW w:w="1121"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w:t>
            </w:r>
          </w:p>
        </w:tc>
        <w:tc>
          <w:tcPr>
            <w:tcW w:w="1058" w:type="dxa"/>
            <w:shd w:val="clear" w:color="auto" w:fill="auto"/>
            <w:tcMar>
              <w:top w:w="5" w:type="dxa"/>
              <w:left w:w="5" w:type="dxa"/>
              <w:right w:w="5" w:type="dxa"/>
            </w:tcMar>
            <w:vAlign w:val="center"/>
          </w:tcPr>
          <w:p>
            <w:pPr>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kern w:val="0"/>
                <w:sz w:val="20"/>
                <w:szCs w:val="20"/>
                <w:lang w:bidi="ar"/>
              </w:rPr>
              <w:t>大学英语</w:t>
            </w:r>
          </w:p>
        </w:tc>
        <w:tc>
          <w:tcPr>
            <w:tcW w:w="1374" w:type="dxa"/>
            <w:shd w:val="clear" w:color="auto" w:fill="auto"/>
            <w:tcMar>
              <w:top w:w="5" w:type="dxa"/>
              <w:left w:w="5" w:type="dxa"/>
              <w:right w:w="5" w:type="dxa"/>
            </w:tcMar>
            <w:vAlign w:val="center"/>
          </w:tcPr>
          <w:p>
            <w:pPr>
              <w:ind w:left="10" w:leftChars="0" w:right="166" w:rightChars="0" w:hanging="10" w:firstLineChars="0"/>
              <w:jc w:val="center"/>
              <w:textAlignment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bidi="ar"/>
              </w:rPr>
              <w:t>高等数学</w:t>
            </w:r>
          </w:p>
        </w:tc>
        <w:tc>
          <w:tcPr>
            <w:tcW w:w="1405" w:type="dxa"/>
            <w:shd w:val="clear" w:color="auto" w:fill="auto"/>
            <w:tcMar>
              <w:top w:w="5" w:type="dxa"/>
              <w:left w:w="5" w:type="dxa"/>
              <w:right w:w="5" w:type="dxa"/>
            </w:tcMar>
            <w:vAlign w:val="center"/>
          </w:tcPr>
          <w:p>
            <w:pPr>
              <w:ind w:left="10" w:leftChars="0" w:right="166" w:rightChars="0" w:hanging="10" w:firstLineChars="0"/>
              <w:jc w:val="center"/>
              <w:textAlignment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bidi="ar"/>
              </w:rPr>
              <w:t>机械设计基础</w:t>
            </w:r>
          </w:p>
        </w:tc>
        <w:tc>
          <w:tcPr>
            <w:tcW w:w="5144" w:type="dxa"/>
            <w:shd w:val="clear" w:color="auto" w:fill="auto"/>
            <w:tcMar>
              <w:top w:w="5" w:type="dxa"/>
              <w:left w:w="5" w:type="dxa"/>
              <w:right w:w="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《机械设计基础》，高等教育出版社，主编：陈云飞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7" w:hRule="exact"/>
        </w:trPr>
        <w:tc>
          <w:tcPr>
            <w:tcW w:w="613"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sz w:val="20"/>
                <w:szCs w:val="20"/>
                <w:u w:val="none"/>
                <w:lang w:val="en-US" w:eastAsia="zh-CN"/>
              </w:rPr>
              <w:t>8</w:t>
            </w:r>
          </w:p>
        </w:tc>
        <w:tc>
          <w:tcPr>
            <w:tcW w:w="915"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sz w:val="20"/>
                <w:szCs w:val="20"/>
                <w:u w:val="none"/>
                <w:lang w:eastAsia="zh-CN"/>
              </w:rPr>
              <w:t>机电系</w:t>
            </w:r>
          </w:p>
        </w:tc>
        <w:tc>
          <w:tcPr>
            <w:tcW w:w="2432" w:type="dxa"/>
            <w:shd w:val="clear" w:color="auto" w:fill="auto"/>
            <w:tcMar>
              <w:top w:w="5" w:type="dxa"/>
              <w:left w:w="5" w:type="dxa"/>
              <w:right w:w="5" w:type="dxa"/>
            </w:tcMar>
            <w:vAlign w:val="center"/>
          </w:tcPr>
          <w:p>
            <w:pPr>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kern w:val="0"/>
                <w:sz w:val="20"/>
                <w:szCs w:val="20"/>
                <w:lang w:bidi="ar"/>
              </w:rPr>
              <w:t>计算机科学与技术</w:t>
            </w:r>
          </w:p>
        </w:tc>
        <w:tc>
          <w:tcPr>
            <w:tcW w:w="1121" w:type="dxa"/>
            <w:shd w:val="clear" w:color="auto" w:fill="auto"/>
            <w:tcMar>
              <w:top w:w="5" w:type="dxa"/>
              <w:left w:w="5" w:type="dxa"/>
              <w:right w:w="5" w:type="dxa"/>
            </w:tcMar>
            <w:vAlign w:val="center"/>
          </w:tcPr>
          <w:p>
            <w:pPr>
              <w:ind w:left="10" w:leftChars="0" w:right="166" w:rightChars="0" w:hanging="10" w:firstLine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20</w:t>
            </w:r>
          </w:p>
        </w:tc>
        <w:tc>
          <w:tcPr>
            <w:tcW w:w="1058" w:type="dxa"/>
            <w:shd w:val="clear" w:color="auto" w:fill="auto"/>
            <w:tcMar>
              <w:top w:w="5" w:type="dxa"/>
              <w:left w:w="5" w:type="dxa"/>
              <w:right w:w="5" w:type="dxa"/>
            </w:tcMar>
            <w:vAlign w:val="center"/>
          </w:tcPr>
          <w:p>
            <w:pPr>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kern w:val="0"/>
                <w:sz w:val="20"/>
                <w:szCs w:val="20"/>
                <w:lang w:bidi="ar"/>
              </w:rPr>
              <w:t>大学英语</w:t>
            </w:r>
          </w:p>
        </w:tc>
        <w:tc>
          <w:tcPr>
            <w:tcW w:w="1374" w:type="dxa"/>
            <w:shd w:val="clear" w:color="auto" w:fill="auto"/>
            <w:tcMar>
              <w:top w:w="5" w:type="dxa"/>
              <w:left w:w="5" w:type="dxa"/>
              <w:right w:w="5" w:type="dxa"/>
            </w:tcMar>
            <w:vAlign w:val="center"/>
          </w:tcPr>
          <w:p>
            <w:pPr>
              <w:ind w:left="10" w:leftChars="0" w:right="166" w:rightChars="0" w:hanging="10" w:firstLineChars="0"/>
              <w:jc w:val="center"/>
              <w:textAlignment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bidi="ar"/>
              </w:rPr>
              <w:t>高等数学</w:t>
            </w:r>
          </w:p>
        </w:tc>
        <w:tc>
          <w:tcPr>
            <w:tcW w:w="1405" w:type="dxa"/>
            <w:shd w:val="clear" w:color="auto" w:fill="auto"/>
            <w:tcMar>
              <w:top w:w="5" w:type="dxa"/>
              <w:left w:w="5" w:type="dxa"/>
              <w:right w:w="5" w:type="dxa"/>
            </w:tcMar>
            <w:vAlign w:val="center"/>
          </w:tcPr>
          <w:p>
            <w:pPr>
              <w:ind w:left="10" w:leftChars="0" w:right="166" w:rightChars="0" w:hanging="10" w:firstLineChars="0"/>
              <w:jc w:val="center"/>
              <w:textAlignment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bidi="ar"/>
              </w:rPr>
              <w:t>程序设计基础</w:t>
            </w:r>
          </w:p>
        </w:tc>
        <w:tc>
          <w:tcPr>
            <w:tcW w:w="5144" w:type="dxa"/>
            <w:shd w:val="clear" w:color="auto" w:fill="auto"/>
            <w:tcMar>
              <w:top w:w="5" w:type="dxa"/>
              <w:left w:w="5" w:type="dxa"/>
              <w:right w:w="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1.《C 语言程序设计》，谭浩强等;2.《数据库系统概论》， 王珊等（以程序设计工</w:t>
            </w:r>
            <w:bookmarkStart w:id="0" w:name="_GoBack"/>
            <w:bookmarkEnd w:id="0"/>
            <w:r>
              <w:rPr>
                <w:rFonts w:hint="eastAsia" w:ascii="宋体" w:hAnsi="宋体" w:eastAsia="宋体" w:cs="宋体"/>
                <w:i w:val="0"/>
                <w:color w:val="000000"/>
                <w:kern w:val="0"/>
                <w:sz w:val="20"/>
                <w:szCs w:val="20"/>
                <w:u w:val="none"/>
                <w:lang w:val="en-US" w:eastAsia="zh-CN" w:bidi="ar"/>
              </w:rPr>
              <w:t>程应用能力考核为主，语言不限）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7" w:hRule="exact"/>
        </w:trPr>
        <w:tc>
          <w:tcPr>
            <w:tcW w:w="613"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default"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sz w:val="20"/>
                <w:szCs w:val="20"/>
                <w:u w:val="none"/>
                <w:lang w:val="en-US" w:eastAsia="zh-CN"/>
              </w:rPr>
              <w:t>9</w:t>
            </w:r>
          </w:p>
        </w:tc>
        <w:tc>
          <w:tcPr>
            <w:tcW w:w="91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sz w:val="20"/>
                <w:szCs w:val="20"/>
                <w:u w:val="none"/>
                <w:lang w:eastAsia="zh-CN"/>
              </w:rPr>
              <w:t>经管系</w:t>
            </w:r>
          </w:p>
        </w:tc>
        <w:tc>
          <w:tcPr>
            <w:tcW w:w="2432"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国际经济与贸易</w:t>
            </w:r>
          </w:p>
        </w:tc>
        <w:tc>
          <w:tcPr>
            <w:tcW w:w="1121"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18"/>
                <w:szCs w:val="18"/>
                <w:u w:val="none"/>
                <w:lang w:val="en-US" w:eastAsia="zh-CN" w:bidi="ar-SA"/>
              </w:rPr>
              <w:t>20</w:t>
            </w:r>
          </w:p>
        </w:tc>
        <w:tc>
          <w:tcPr>
            <w:tcW w:w="1058"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大学英语</w:t>
            </w:r>
          </w:p>
        </w:tc>
        <w:tc>
          <w:tcPr>
            <w:tcW w:w="137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大学语文</w:t>
            </w:r>
          </w:p>
        </w:tc>
        <w:tc>
          <w:tcPr>
            <w:tcW w:w="140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国际贸易实务</w:t>
            </w:r>
          </w:p>
        </w:tc>
        <w:tc>
          <w:tcPr>
            <w:tcW w:w="514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《国际贸易实务》 刘畅 山东大学出版社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7" w:hRule="exact"/>
        </w:trPr>
        <w:tc>
          <w:tcPr>
            <w:tcW w:w="613"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default"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sz w:val="20"/>
                <w:szCs w:val="20"/>
                <w:u w:val="none"/>
                <w:lang w:val="en-US" w:eastAsia="zh-CN"/>
              </w:rPr>
              <w:t>10</w:t>
            </w:r>
          </w:p>
        </w:tc>
        <w:tc>
          <w:tcPr>
            <w:tcW w:w="91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sz w:val="20"/>
                <w:szCs w:val="20"/>
                <w:u w:val="none"/>
                <w:lang w:eastAsia="zh-CN"/>
              </w:rPr>
              <w:t>经管系</w:t>
            </w:r>
          </w:p>
        </w:tc>
        <w:tc>
          <w:tcPr>
            <w:tcW w:w="2432"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18"/>
                <w:szCs w:val="18"/>
                <w:u w:val="none"/>
                <w:lang w:val="en-US" w:eastAsia="zh-CN" w:bidi="ar-SA"/>
              </w:rPr>
            </w:pPr>
            <w:r>
              <w:rPr>
                <w:rFonts w:hint="eastAsia" w:ascii="宋体" w:hAnsi="宋体" w:eastAsia="宋体" w:cs="宋体"/>
                <w:b/>
                <w:bCs/>
                <w:i w:val="0"/>
                <w:color w:val="000000"/>
                <w:kern w:val="0"/>
                <w:sz w:val="20"/>
                <w:szCs w:val="20"/>
                <w:u w:val="none"/>
                <w:lang w:val="en-US" w:eastAsia="zh-CN" w:bidi="ar"/>
              </w:rPr>
              <w:t>会计学</w:t>
            </w:r>
          </w:p>
        </w:tc>
        <w:tc>
          <w:tcPr>
            <w:tcW w:w="1121"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20"/>
                <w:szCs w:val="20"/>
                <w:u w:val="none"/>
                <w:lang w:val="en-US" w:eastAsia="zh-CN" w:bidi="ar-SA"/>
              </w:rPr>
              <w:t>20</w:t>
            </w:r>
          </w:p>
        </w:tc>
        <w:tc>
          <w:tcPr>
            <w:tcW w:w="1058"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大学英语</w:t>
            </w:r>
          </w:p>
        </w:tc>
        <w:tc>
          <w:tcPr>
            <w:tcW w:w="137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大学语文</w:t>
            </w:r>
          </w:p>
        </w:tc>
        <w:tc>
          <w:tcPr>
            <w:tcW w:w="140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会计学基础</w:t>
            </w:r>
          </w:p>
        </w:tc>
        <w:tc>
          <w:tcPr>
            <w:tcW w:w="514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《初级财务会计》 湛忠灿 中国财政经济出版社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737" w:hRule="exact"/>
        </w:trPr>
        <w:tc>
          <w:tcPr>
            <w:tcW w:w="613"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default"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2"/>
                <w:sz w:val="20"/>
                <w:szCs w:val="20"/>
                <w:u w:val="none"/>
                <w:lang w:val="en-US" w:eastAsia="zh-CN" w:bidi="ar-SA"/>
              </w:rPr>
              <w:t>11</w:t>
            </w:r>
          </w:p>
        </w:tc>
        <w:tc>
          <w:tcPr>
            <w:tcW w:w="91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sz w:val="20"/>
                <w:szCs w:val="20"/>
                <w:u w:val="none"/>
                <w:lang w:eastAsia="zh-CN"/>
              </w:rPr>
              <w:t>经管系</w:t>
            </w:r>
          </w:p>
        </w:tc>
        <w:tc>
          <w:tcPr>
            <w:tcW w:w="2432"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旅游管理</w:t>
            </w:r>
          </w:p>
        </w:tc>
        <w:tc>
          <w:tcPr>
            <w:tcW w:w="1121"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w:t>
            </w:r>
          </w:p>
        </w:tc>
        <w:tc>
          <w:tcPr>
            <w:tcW w:w="1058"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大学英语</w:t>
            </w:r>
          </w:p>
        </w:tc>
        <w:tc>
          <w:tcPr>
            <w:tcW w:w="137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大学语文</w:t>
            </w:r>
          </w:p>
        </w:tc>
        <w:tc>
          <w:tcPr>
            <w:tcW w:w="140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旅游学概论</w:t>
            </w:r>
          </w:p>
        </w:tc>
        <w:tc>
          <w:tcPr>
            <w:tcW w:w="514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《旅游学概论》李天元南开大学出版社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7" w:hRule="exact"/>
        </w:trPr>
        <w:tc>
          <w:tcPr>
            <w:tcW w:w="613"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kern w:val="2"/>
                <w:sz w:val="20"/>
                <w:szCs w:val="20"/>
                <w:u w:val="none"/>
                <w:lang w:val="en-US" w:eastAsia="zh-CN" w:bidi="ar-SA"/>
              </w:rPr>
            </w:pPr>
          </w:p>
        </w:tc>
        <w:tc>
          <w:tcPr>
            <w:tcW w:w="915"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合计</w:t>
            </w:r>
          </w:p>
        </w:tc>
        <w:tc>
          <w:tcPr>
            <w:tcW w:w="2432" w:type="dxa"/>
            <w:shd w:val="clear" w:color="auto" w:fill="auto"/>
            <w:tcMar>
              <w:top w:w="5" w:type="dxa"/>
              <w:left w:w="5" w:type="dxa"/>
              <w:right w:w="5" w:type="dxa"/>
            </w:tcMar>
            <w:vAlign w:val="center"/>
          </w:tcPr>
          <w:p>
            <w:pPr>
              <w:keepNext w:val="0"/>
              <w:keepLines w:val="0"/>
              <w:widowControl/>
              <w:suppressLineNumbers w:val="0"/>
              <w:ind w:left="205" w:leftChars="64" w:firstLine="193" w:firstLineChars="96"/>
              <w:jc w:val="center"/>
              <w:textAlignment w:val="center"/>
              <w:rPr>
                <w:rFonts w:hint="eastAsia" w:ascii="宋体" w:hAnsi="宋体" w:eastAsia="宋体" w:cs="宋体"/>
                <w:b/>
                <w:bCs/>
                <w:i w:val="0"/>
                <w:color w:val="000000"/>
                <w:kern w:val="2"/>
                <w:sz w:val="20"/>
                <w:szCs w:val="20"/>
                <w:u w:val="none"/>
                <w:lang w:val="en-US" w:eastAsia="zh-CN" w:bidi="ar-SA"/>
              </w:rPr>
            </w:pPr>
          </w:p>
        </w:tc>
        <w:tc>
          <w:tcPr>
            <w:tcW w:w="1121" w:type="dxa"/>
            <w:shd w:val="clear" w:color="auto" w:fill="auto"/>
            <w:tcMar>
              <w:top w:w="5" w:type="dxa"/>
              <w:left w:w="5" w:type="dxa"/>
              <w:right w:w="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200</w:t>
            </w:r>
          </w:p>
        </w:tc>
        <w:tc>
          <w:tcPr>
            <w:tcW w:w="1058"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37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1405"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5144" w:type="dxa"/>
            <w:shd w:val="clear" w:color="auto" w:fill="auto"/>
            <w:tcMar>
              <w:top w:w="5" w:type="dxa"/>
              <w:left w:w="5" w:type="dxa"/>
              <w:right w:w="5" w:type="dxa"/>
            </w:tcMar>
            <w:vAlign w:val="center"/>
          </w:tcPr>
          <w:p>
            <w:pPr>
              <w:keepNext w:val="0"/>
              <w:keepLines w:val="0"/>
              <w:widowControl/>
              <w:suppressLineNumbers w:val="0"/>
              <w:ind w:left="10" w:leftChars="0" w:right="166" w:rightChars="0" w:hanging="10" w:firstLineChars="0"/>
              <w:jc w:val="left"/>
              <w:textAlignment w:val="center"/>
              <w:rPr>
                <w:rFonts w:hint="eastAsia" w:ascii="宋体" w:hAnsi="宋体" w:eastAsia="宋体" w:cs="宋体"/>
                <w:i w:val="0"/>
                <w:color w:val="000000"/>
                <w:kern w:val="0"/>
                <w:sz w:val="20"/>
                <w:szCs w:val="20"/>
                <w:u w:val="none"/>
                <w:lang w:val="en-US" w:eastAsia="zh-CN" w:bidi="ar"/>
              </w:rPr>
            </w:pPr>
          </w:p>
        </w:tc>
      </w:tr>
    </w:tbl>
    <w:p>
      <w:pPr>
        <w:rPr>
          <w:rFonts w:cs="Times New Roman"/>
        </w:rPr>
      </w:pPr>
    </w:p>
    <w:sectPr>
      <w:pgSz w:w="16838" w:h="11906" w:orient="landscape"/>
      <w:pgMar w:top="1440" w:right="1440" w:bottom="1440" w:left="144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2A175F"/>
    <w:rsid w:val="3B1506F6"/>
    <w:rsid w:val="462C521A"/>
    <w:rsid w:val="4D205246"/>
    <w:rsid w:val="52A31A0E"/>
    <w:rsid w:val="5DE968D8"/>
    <w:rsid w:val="6EE95199"/>
    <w:rsid w:val="73677F5F"/>
    <w:rsid w:val="79F5465B"/>
    <w:rsid w:val="7A0258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72" w:line="259" w:lineRule="auto"/>
      <w:ind w:left="10" w:right="166" w:hanging="10"/>
    </w:pPr>
    <w:rPr>
      <w:rFonts w:ascii="仿宋" w:hAnsi="仿宋" w:eastAsia="仿宋" w:cs="仿宋"/>
      <w:color w:val="000000"/>
      <w:kern w:val="2"/>
      <w:sz w:val="32"/>
      <w:szCs w:val="32"/>
      <w:lang w:val="en-US" w:eastAsia="zh-CN" w:bidi="ar-SA"/>
    </w:rPr>
  </w:style>
  <w:style w:type="paragraph" w:styleId="2">
    <w:name w:val="heading 1"/>
    <w:basedOn w:val="1"/>
    <w:next w:val="1"/>
    <w:link w:val="10"/>
    <w:qFormat/>
    <w:uiPriority w:val="99"/>
    <w:pPr>
      <w:keepNext/>
      <w:keepLines/>
      <w:spacing w:after="124"/>
      <w:ind w:left="0" w:firstLine="0"/>
      <w:jc w:val="center"/>
      <w:outlineLvl w:val="0"/>
    </w:pPr>
  </w:style>
  <w:style w:type="paragraph" w:styleId="3">
    <w:name w:val="heading 2"/>
    <w:basedOn w:val="1"/>
    <w:next w:val="1"/>
    <w:link w:val="11"/>
    <w:qFormat/>
    <w:uiPriority w:val="99"/>
    <w:pPr>
      <w:keepNext/>
      <w:keepLines/>
      <w:spacing w:after="71"/>
      <w:ind w:left="651" w:right="0"/>
      <w:outlineLvl w:val="1"/>
    </w:pPr>
    <w:rPr>
      <w:rFonts w:ascii="黑体" w:hAnsi="黑体" w:eastAsia="黑体" w:cs="黑体"/>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4">
    <w:name w:val="footer"/>
    <w:basedOn w:val="1"/>
    <w:link w:val="14"/>
    <w:qFormat/>
    <w:uiPriority w:val="99"/>
    <w:pPr>
      <w:tabs>
        <w:tab w:val="center" w:pos="4153"/>
        <w:tab w:val="right" w:pos="8306"/>
      </w:tabs>
      <w:snapToGrid w:val="0"/>
      <w:spacing w:line="240" w:lineRule="auto"/>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99"/>
    <w:rPr>
      <w:color w:val="0000FF"/>
      <w:u w:val="single"/>
    </w:rPr>
  </w:style>
  <w:style w:type="character" w:customStyle="1" w:styleId="10">
    <w:name w:val="标题 1 Char"/>
    <w:basedOn w:val="8"/>
    <w:link w:val="2"/>
    <w:qFormat/>
    <w:uiPriority w:val="99"/>
    <w:rPr>
      <w:rFonts w:ascii="仿宋" w:hAnsi="仿宋" w:eastAsia="仿宋" w:cs="仿宋"/>
      <w:color w:val="000000"/>
      <w:kern w:val="2"/>
      <w:sz w:val="22"/>
      <w:szCs w:val="22"/>
      <w:lang w:val="en-US" w:eastAsia="zh-CN"/>
    </w:rPr>
  </w:style>
  <w:style w:type="character" w:customStyle="1" w:styleId="11">
    <w:name w:val="标题 2 Char"/>
    <w:basedOn w:val="8"/>
    <w:link w:val="3"/>
    <w:qFormat/>
    <w:uiPriority w:val="99"/>
    <w:rPr>
      <w:rFonts w:ascii="黑体" w:hAnsi="黑体" w:eastAsia="黑体" w:cs="黑体"/>
      <w:color w:val="000000"/>
      <w:kern w:val="2"/>
      <w:sz w:val="22"/>
      <w:szCs w:val="22"/>
      <w:lang w:val="en-US" w:eastAsia="zh-CN"/>
    </w:rPr>
  </w:style>
  <w:style w:type="table" w:customStyle="1" w:styleId="12">
    <w:name w:val="TableGrid"/>
    <w:qFormat/>
    <w:uiPriority w:val="99"/>
    <w:rPr>
      <w:rFonts w:cs="Calibri"/>
      <w:kern w:val="2"/>
      <w:sz w:val="21"/>
      <w:szCs w:val="21"/>
    </w:rPr>
    <w:tblPr>
      <w:tblCellMar>
        <w:top w:w="0" w:type="dxa"/>
        <w:left w:w="0" w:type="dxa"/>
        <w:bottom w:w="0" w:type="dxa"/>
        <w:right w:w="0" w:type="dxa"/>
      </w:tblCellMar>
    </w:tblPr>
  </w:style>
  <w:style w:type="character" w:customStyle="1" w:styleId="13">
    <w:name w:val="页眉 Char"/>
    <w:basedOn w:val="8"/>
    <w:link w:val="5"/>
    <w:qFormat/>
    <w:uiPriority w:val="99"/>
    <w:rPr>
      <w:rFonts w:ascii="仿宋" w:hAnsi="仿宋" w:eastAsia="仿宋" w:cs="仿宋"/>
      <w:color w:val="000000"/>
      <w:sz w:val="18"/>
      <w:szCs w:val="18"/>
    </w:rPr>
  </w:style>
  <w:style w:type="character" w:customStyle="1" w:styleId="14">
    <w:name w:val="页脚 Char"/>
    <w:basedOn w:val="8"/>
    <w:link w:val="4"/>
    <w:qFormat/>
    <w:uiPriority w:val="99"/>
    <w:rPr>
      <w:rFonts w:ascii="仿宋" w:hAnsi="仿宋" w:eastAsia="仿宋" w:cs="仿宋"/>
      <w:color w:val="000000"/>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湖南理工学院</Company>
  <Pages>1</Pages>
  <Words>3727</Words>
  <Characters>3980</Characters>
  <Paragraphs>165</Paragraphs>
  <TotalTime>2</TotalTime>
  <ScaleCrop>false</ScaleCrop>
  <LinksUpToDate>false</LinksUpToDate>
  <CharactersWithSpaces>4028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2020-04-29T01:34:00Z</dcterms:created>
  <dc:creator>Administrator</dc:creator>
  <cp:lastModifiedBy>HD.</cp:lastModifiedBy>
  <cp:lastPrinted>2021-03-15T02:10:39Z</cp:lastPrinted>
  <dcterms:modified xsi:type="dcterms:W3CDTF">2021-03-15T02:31:20Z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26CF79F9C2B84A00A9B194075ABCFE53</vt:lpwstr>
  </property>
</Properties>
</file>